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76E8D" w14:paraId="61FFB9CB" w14:textId="77777777" w:rsidTr="00DE264A">
        <w:trPr>
          <w:trHeight w:val="852"/>
          <w:jc w:val="center"/>
        </w:trPr>
        <w:tc>
          <w:tcPr>
            <w:tcW w:w="6946" w:type="dxa"/>
            <w:vMerge w:val="restart"/>
            <w:tcBorders>
              <w:right w:val="single" w:sz="4" w:space="0" w:color="auto"/>
            </w:tcBorders>
          </w:tcPr>
          <w:p w14:paraId="5DBBA0EE" w14:textId="77777777" w:rsidR="000A03B2" w:rsidRPr="00B57B36" w:rsidRDefault="005C79B1"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523E8E21" wp14:editId="44DF5FF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p>
          <w:p w14:paraId="0219C220" w14:textId="77777777" w:rsidR="000A03B2" w:rsidRPr="00B57B36" w:rsidRDefault="000A03B2" w:rsidP="00DE264A">
            <w:pPr>
              <w:tabs>
                <w:tab w:val="left" w:pos="-108"/>
              </w:tabs>
              <w:ind w:left="-108"/>
              <w:jc w:val="left"/>
              <w:rPr>
                <w:rFonts w:cs="Arial"/>
                <w:b/>
                <w:bCs/>
                <w:i/>
                <w:iCs/>
                <w:color w:val="000066"/>
                <w:sz w:val="12"/>
                <w:szCs w:val="12"/>
                <w:lang w:eastAsia="it-IT"/>
              </w:rPr>
            </w:pPr>
          </w:p>
          <w:p w14:paraId="3138FC2D" w14:textId="77777777" w:rsidR="000A03B2" w:rsidRPr="00B57B36" w:rsidRDefault="005C79B1"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1D21AF">
              <w:rPr>
                <w:rFonts w:cs="Arial"/>
                <w:b/>
                <w:bCs/>
                <w:i/>
                <w:iCs/>
                <w:color w:val="000066"/>
                <w:sz w:val="22"/>
                <w:szCs w:val="22"/>
                <w:lang w:eastAsia="it-IT"/>
              </w:rPr>
              <w:t>2</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722F06D0" w14:textId="77777777" w:rsidR="000A03B2" w:rsidRPr="00B57B36" w:rsidRDefault="005C79B1" w:rsidP="00CD5FE2">
            <w:pPr>
              <w:spacing w:line="140" w:lineRule="atLeast"/>
              <w:jc w:val="right"/>
              <w:rPr>
                <w:rFonts w:cs="Arial"/>
                <w:sz w:val="14"/>
                <w:szCs w:val="14"/>
              </w:rPr>
            </w:pPr>
            <w:r w:rsidRPr="00B57B36">
              <w:rPr>
                <w:rFonts w:cs="Arial"/>
                <w:sz w:val="14"/>
                <w:szCs w:val="14"/>
              </w:rPr>
              <w:t>A publication of</w:t>
            </w:r>
          </w:p>
          <w:p w14:paraId="112560D0" w14:textId="77777777" w:rsidR="000A03B2" w:rsidRPr="00B57B36" w:rsidRDefault="005C79B1" w:rsidP="00CD5FE2">
            <w:pPr>
              <w:jc w:val="right"/>
            </w:pPr>
            <w:r w:rsidRPr="00B57B36">
              <w:rPr>
                <w:noProof/>
                <w:lang w:val="it-IT" w:eastAsia="it-IT"/>
              </w:rPr>
              <w:drawing>
                <wp:inline distT="0" distB="0" distL="0" distR="0" wp14:anchorId="4870F6EC" wp14:editId="30BD891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E76E8D" w14:paraId="7E40DDCF" w14:textId="77777777" w:rsidTr="00DE264A">
        <w:trPr>
          <w:trHeight w:val="567"/>
          <w:jc w:val="center"/>
        </w:trPr>
        <w:tc>
          <w:tcPr>
            <w:tcW w:w="6946" w:type="dxa"/>
            <w:vMerge/>
            <w:tcBorders>
              <w:right w:val="single" w:sz="4" w:space="0" w:color="auto"/>
            </w:tcBorders>
          </w:tcPr>
          <w:p w14:paraId="2A877D5C"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2AE0F961" w14:textId="77777777" w:rsidR="000A03B2" w:rsidRPr="00B57B36" w:rsidRDefault="005C79B1" w:rsidP="00CD5FE2">
            <w:pPr>
              <w:spacing w:line="140" w:lineRule="atLeast"/>
              <w:jc w:val="right"/>
              <w:rPr>
                <w:rFonts w:cs="Arial"/>
                <w:sz w:val="14"/>
                <w:szCs w:val="14"/>
              </w:rPr>
            </w:pPr>
            <w:r w:rsidRPr="00B57B36">
              <w:rPr>
                <w:rFonts w:cs="Arial"/>
                <w:sz w:val="14"/>
                <w:szCs w:val="14"/>
              </w:rPr>
              <w:t>The Italian Association</w:t>
            </w:r>
          </w:p>
          <w:p w14:paraId="13CBD89B" w14:textId="77777777" w:rsidR="000A03B2" w:rsidRPr="00B57B36" w:rsidRDefault="005C79B1" w:rsidP="00CD5FE2">
            <w:pPr>
              <w:spacing w:line="140" w:lineRule="atLeast"/>
              <w:jc w:val="right"/>
              <w:rPr>
                <w:rFonts w:cs="Arial"/>
                <w:sz w:val="14"/>
                <w:szCs w:val="14"/>
              </w:rPr>
            </w:pPr>
            <w:r w:rsidRPr="00B57B36">
              <w:rPr>
                <w:rFonts w:cs="Arial"/>
                <w:sz w:val="14"/>
                <w:szCs w:val="14"/>
              </w:rPr>
              <w:t>of Chemical Engineering</w:t>
            </w:r>
          </w:p>
          <w:p w14:paraId="0E416809" w14:textId="77777777" w:rsidR="000A03B2" w:rsidRPr="000D0268" w:rsidRDefault="005C79B1" w:rsidP="00CD5FE2">
            <w:pPr>
              <w:spacing w:line="140" w:lineRule="atLeast"/>
              <w:jc w:val="right"/>
              <w:rPr>
                <w:rFonts w:cs="Arial"/>
                <w:sz w:val="13"/>
                <w:szCs w:val="13"/>
              </w:rPr>
            </w:pPr>
            <w:r w:rsidRPr="000D0268">
              <w:rPr>
                <w:rFonts w:cs="Arial"/>
                <w:sz w:val="13"/>
                <w:szCs w:val="13"/>
              </w:rPr>
              <w:t>Online at www.cetjournal.it</w:t>
            </w:r>
          </w:p>
        </w:tc>
      </w:tr>
      <w:tr w:rsidR="00E76E8D" w14:paraId="38870D2C" w14:textId="77777777" w:rsidTr="00DE264A">
        <w:trPr>
          <w:trHeight w:val="68"/>
          <w:jc w:val="center"/>
        </w:trPr>
        <w:tc>
          <w:tcPr>
            <w:tcW w:w="8789" w:type="dxa"/>
            <w:gridSpan w:val="2"/>
          </w:tcPr>
          <w:p w14:paraId="198A456A" w14:textId="77777777" w:rsidR="00300E56" w:rsidRPr="0044071E" w:rsidRDefault="005C79B1"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Rubens Maciel Filho</w:t>
            </w:r>
            <w:r w:rsidR="00964A45">
              <w:rPr>
                <w:rFonts w:ascii="Tahoma" w:hAnsi="Tahoma" w:cs="Tahoma"/>
                <w:color w:val="000000"/>
                <w:sz w:val="14"/>
                <w:szCs w:val="14"/>
                <w:shd w:val="clear" w:color="auto" w:fill="FFFFFF"/>
                <w:lang w:val="it-IT"/>
              </w:rPr>
              <w:t>,</w:t>
            </w:r>
            <w:r w:rsidR="00964A45" w:rsidRPr="0044071E">
              <w:rPr>
                <w:rFonts w:ascii="Tahoma" w:hAnsi="Tahoma" w:cs="Tahoma"/>
                <w:color w:val="000000"/>
                <w:sz w:val="14"/>
                <w:szCs w:val="14"/>
                <w:shd w:val="clear" w:color="auto" w:fill="FFFFFF"/>
                <w:lang w:val="it-IT"/>
              </w:rPr>
              <w:t xml:space="preserve"> Eliseo Ranzi</w:t>
            </w:r>
            <w:r w:rsidR="00964A45">
              <w:rPr>
                <w:rFonts w:ascii="Tahoma" w:hAnsi="Tahoma" w:cs="Tahoma"/>
                <w:color w:val="000000"/>
                <w:sz w:val="14"/>
                <w:szCs w:val="14"/>
                <w:shd w:val="clear" w:color="auto" w:fill="FFFFFF"/>
                <w:lang w:val="it-IT"/>
              </w:rPr>
              <w:t>, Leonardo Tognotti</w:t>
            </w:r>
          </w:p>
          <w:p w14:paraId="6895A6AF" w14:textId="77777777" w:rsidR="000A03B2" w:rsidRPr="00B57B36" w:rsidRDefault="005C79B1"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p>
          <w:p w14:paraId="502863BC" w14:textId="77777777" w:rsidR="000A03B2" w:rsidRPr="00B57B36" w:rsidRDefault="00300E56" w:rsidP="001D21AF">
            <w:pPr>
              <w:tabs>
                <w:tab w:val="left" w:pos="-108"/>
              </w:tabs>
              <w:spacing w:line="140" w:lineRule="atLeast"/>
              <w:ind w:left="-107"/>
              <w:jc w:val="left"/>
            </w:pP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90</w:t>
            </w:r>
            <w:r w:rsidR="00D46B7E">
              <w:rPr>
                <w:rFonts w:ascii="Tahoma" w:hAnsi="Tahoma" w:cs="Tahoma"/>
                <w:sz w:val="14"/>
                <w:szCs w:val="14"/>
              </w:rPr>
              <w:t>-</w:t>
            </w:r>
            <w:r w:rsidR="001D21AF">
              <w:rPr>
                <w:rFonts w:ascii="Tahoma" w:hAnsi="Tahoma" w:cs="Tahoma"/>
                <w:sz w:val="14"/>
                <w:szCs w:val="14"/>
              </w:rPr>
              <w:t>7</w:t>
            </w:r>
            <w:r w:rsidR="007B48F9"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0111DB6"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1BADA8F5" w14:textId="2A80C360" w:rsidR="00E978D0" w:rsidRPr="00B57B36" w:rsidRDefault="001A7A2B" w:rsidP="00E978D0">
      <w:pPr>
        <w:pStyle w:val="CETTitle"/>
      </w:pPr>
      <w:bookmarkStart w:id="0" w:name="_Hlk93018254"/>
      <w:r w:rsidRPr="005E5613">
        <w:t>Techno</w:t>
      </w:r>
      <w:r w:rsidR="00940274" w:rsidRPr="005E5613">
        <w:t>e</w:t>
      </w:r>
      <w:r w:rsidR="005C79B1" w:rsidRPr="005E5613">
        <w:t>conomic A</w:t>
      </w:r>
      <w:r w:rsidR="00940274" w:rsidRPr="005E5613">
        <w:t>nalysis</w:t>
      </w:r>
      <w:r w:rsidR="005C79B1" w:rsidRPr="005E5613">
        <w:t xml:space="preserve"> of Dual Oil and Biochar Production from </w:t>
      </w:r>
      <w:r w:rsidR="00044D5E">
        <w:t xml:space="preserve">Creole </w:t>
      </w:r>
      <w:r w:rsidR="005C79B1" w:rsidRPr="005E5613">
        <w:t>Avocado in North-Colombia</w:t>
      </w:r>
    </w:p>
    <w:p w14:paraId="703790AC" w14:textId="77777777" w:rsidR="00235CC8" w:rsidRPr="00CF3097" w:rsidRDefault="005C79B1" w:rsidP="00235CC8">
      <w:pPr>
        <w:pStyle w:val="CETAuthors"/>
        <w:rPr>
          <w:lang w:val="es-CO"/>
        </w:rPr>
      </w:pPr>
      <w:r w:rsidRPr="001A25E3">
        <w:rPr>
          <w:lang w:val="es-CO"/>
        </w:rPr>
        <w:t>Tamy Herrera-Rodríguez, Vianny Parejo-Pa</w:t>
      </w:r>
      <w:r>
        <w:rPr>
          <w:lang w:val="es-CO"/>
        </w:rPr>
        <w:t>lacio</w:t>
      </w:r>
      <w:r w:rsidRPr="001A25E3">
        <w:rPr>
          <w:lang w:val="es-CO"/>
        </w:rPr>
        <w:t xml:space="preserve">, </w:t>
      </w:r>
      <w:r>
        <w:rPr>
          <w:lang w:val="es-CO"/>
        </w:rPr>
        <w:t>Á</w:t>
      </w:r>
      <w:r w:rsidRPr="001A25E3">
        <w:rPr>
          <w:lang w:val="es-CO"/>
        </w:rPr>
        <w:t>ngel Gonz</w:t>
      </w:r>
      <w:r>
        <w:rPr>
          <w:lang w:val="es-CO"/>
        </w:rPr>
        <w:t>á</w:t>
      </w:r>
      <w:r w:rsidRPr="001A25E3">
        <w:rPr>
          <w:lang w:val="es-CO"/>
        </w:rPr>
        <w:t>lez-Delgado</w:t>
      </w:r>
      <w:r w:rsidR="0002251E" w:rsidRPr="001A25E3">
        <w:rPr>
          <w:lang w:val="es-CO"/>
        </w:rPr>
        <w:t>*</w:t>
      </w:r>
    </w:p>
    <w:p w14:paraId="1EB6163D" w14:textId="77777777" w:rsidR="00235CC8" w:rsidRPr="00233024" w:rsidRDefault="005C79B1" w:rsidP="00235CC8">
      <w:pPr>
        <w:pStyle w:val="CETAddress"/>
        <w:rPr>
          <w:rFonts w:eastAsiaTheme="minorHAnsi"/>
          <w:lang w:val="en-US"/>
        </w:rPr>
      </w:pPr>
      <w:r w:rsidRPr="00233024">
        <w:rPr>
          <w:rFonts w:eastAsiaTheme="minorHAnsi"/>
          <w:lang w:val="en-US"/>
        </w:rPr>
        <w:t>Nanomaterials and Computer Aided Process Engineering Research Group (NIPAC), Chemical Engineering Department,</w:t>
      </w:r>
    </w:p>
    <w:p w14:paraId="4A7FF076" w14:textId="77777777" w:rsidR="00235CC8" w:rsidRPr="00B57B36" w:rsidRDefault="005C79B1" w:rsidP="00235CC8">
      <w:pPr>
        <w:pStyle w:val="CETAddress"/>
      </w:pPr>
      <w:r w:rsidRPr="00233024">
        <w:rPr>
          <w:rFonts w:eastAsiaTheme="minorHAnsi"/>
          <w:lang w:val="en-US"/>
        </w:rPr>
        <w:t>Faculty of Engineering, University of Cartagena, Av. del Consulado Calle 30 No. 48-152, Cartagena, Colombia.</w:t>
      </w:r>
      <w:r w:rsidRPr="00B57B36">
        <w:t xml:space="preserve"> </w:t>
      </w:r>
    </w:p>
    <w:p w14:paraId="2938B197" w14:textId="77777777" w:rsidR="00235CC8" w:rsidRDefault="005C79B1" w:rsidP="00235CC8">
      <w:pPr>
        <w:pStyle w:val="CETAddress"/>
        <w:rPr>
          <w:rFonts w:eastAsiaTheme="minorHAnsi"/>
        </w:rPr>
      </w:pPr>
      <w:r>
        <w:rPr>
          <w:rFonts w:eastAsiaTheme="minorHAnsi"/>
        </w:rPr>
        <w:t>agonzaled1</w:t>
      </w:r>
      <w:r w:rsidRPr="00233024">
        <w:rPr>
          <w:rFonts w:eastAsiaTheme="minorHAnsi"/>
        </w:rPr>
        <w:t>@unicartagena.edu.co</w:t>
      </w:r>
    </w:p>
    <w:p w14:paraId="7F01B5B5" w14:textId="77777777" w:rsidR="00235CC8" w:rsidRPr="001A7A2B" w:rsidRDefault="00235CC8" w:rsidP="00235CC8">
      <w:pPr>
        <w:pStyle w:val="Default"/>
        <w:rPr>
          <w:lang w:val="en-US"/>
        </w:rPr>
      </w:pPr>
    </w:p>
    <w:p w14:paraId="7FA4E85F" w14:textId="049818EC" w:rsidR="00235CC8" w:rsidRDefault="005C79B1" w:rsidP="00235CC8">
      <w:pPr>
        <w:pStyle w:val="CETBodytext"/>
      </w:pPr>
      <w:r w:rsidRPr="00235CC8">
        <w:t>Creole avocado (</w:t>
      </w:r>
      <w:r w:rsidRPr="00235CC8">
        <w:rPr>
          <w:i/>
          <w:iCs/>
        </w:rPr>
        <w:t xml:space="preserve">Laurus </w:t>
      </w:r>
      <w:r w:rsidR="00671A93">
        <w:rPr>
          <w:i/>
          <w:iCs/>
        </w:rPr>
        <w:t>P</w:t>
      </w:r>
      <w:r w:rsidRPr="00235CC8">
        <w:rPr>
          <w:i/>
          <w:iCs/>
        </w:rPr>
        <w:t>ersea L</w:t>
      </w:r>
      <w:r w:rsidRPr="00235CC8">
        <w:t>)</w:t>
      </w:r>
      <w:r w:rsidR="003C22A2">
        <w:t xml:space="preserve"> presents a high potential of valorization since seed and pulp can be used for obtaining high value products</w:t>
      </w:r>
      <w:r w:rsidRPr="00235CC8">
        <w:t>. The fruit is composed of pulp, seed, and peel, the avocado pulp is used mainly for human consumption, but it can also be used to obtain oils, pastes, and creams, as it is rich in proteins, fats, and carbohydrates; the rest are generally discarded. The avocado seed has a composition rich in fatty acids, polyphenols, and alkaloids, which allows it to be used to obtain bioplastics, dyes, animal feed, among others. This part of the avocado represents approximately 16</w:t>
      </w:r>
      <w:r>
        <w:t xml:space="preserve"> </w:t>
      </w:r>
      <w:r w:rsidRPr="00235CC8">
        <w:t xml:space="preserve">% of the total weight of the fruit. In the present study, the </w:t>
      </w:r>
      <w:r w:rsidRPr="00190336">
        <w:t>production of oil and charcoal (biochar) from avocado pulp and seed, respectively, was economically evaluated. The process is new and untested with a useful life of 15 years, with a processing capacity of 10,</w:t>
      </w:r>
      <w:r w:rsidR="00FE1494">
        <w:t>5</w:t>
      </w:r>
      <w:r w:rsidRPr="00190336">
        <w:t>0</w:t>
      </w:r>
      <w:r w:rsidR="00FE1494">
        <w:t>0</w:t>
      </w:r>
      <w:r w:rsidRPr="00190336">
        <w:t xml:space="preserve"> t/y and a product flow of 1,</w:t>
      </w:r>
      <w:r w:rsidR="00824A11" w:rsidRPr="00190336">
        <w:t>505</w:t>
      </w:r>
      <w:r w:rsidRPr="00190336">
        <w:t xml:space="preserve"> t/y. A total capital investment of $ </w:t>
      </w:r>
      <w:r w:rsidR="00824A11" w:rsidRPr="00190336">
        <w:t xml:space="preserve">7,699,270.14 </w:t>
      </w:r>
      <w:r w:rsidRPr="00190336">
        <w:t xml:space="preserve">was obtained and a recovery of the investment of </w:t>
      </w:r>
      <w:r w:rsidR="004E65A2">
        <w:t>6.67</w:t>
      </w:r>
      <w:r w:rsidRPr="00190336">
        <w:t xml:space="preserve"> years.</w:t>
      </w:r>
      <w:r w:rsidRPr="00235CC8">
        <w:t xml:space="preserve"> </w:t>
      </w:r>
      <w:r w:rsidR="00237219" w:rsidRPr="00237219">
        <w:t>In addition, a cost-benefit ratio greater than 1 was obtained, indicating that the project should be considered because the benefits are greater than the costs.</w:t>
      </w:r>
    </w:p>
    <w:p w14:paraId="74737C05" w14:textId="77777777" w:rsidR="000613FE" w:rsidRDefault="005C79B1" w:rsidP="000613FE">
      <w:pPr>
        <w:pStyle w:val="CETHeading1"/>
      </w:pPr>
      <w:r w:rsidRPr="005B165B">
        <w:t>Introduction</w:t>
      </w:r>
    </w:p>
    <w:p w14:paraId="0D69C13C" w14:textId="77777777" w:rsidR="00486923" w:rsidRPr="00887162" w:rsidRDefault="005C79B1" w:rsidP="00580545">
      <w:pPr>
        <w:pStyle w:val="CETBodytext"/>
        <w:rPr>
          <w:rFonts w:eastAsiaTheme="minorHAnsi"/>
        </w:rPr>
      </w:pPr>
      <w:r w:rsidRPr="00887162">
        <w:rPr>
          <w:rFonts w:eastAsiaTheme="minorHAnsi"/>
        </w:rPr>
        <w:t xml:space="preserve">Agricultural and forestry crops produce a large amount of waste during processing, 18 % of the avocado crop corresponds to residues, 20 % of these is the seed </w:t>
      </w:r>
      <w:r w:rsidRPr="00887162">
        <w:fldChar w:fldCharType="begin" w:fldLock="1"/>
      </w:r>
      <w:r w:rsidRPr="00887162">
        <w:instrText>ADDIN CSL_CITATION {"citationItems":[{"id":"ITEM-1","itemData":{"DOI":"10.3303/CET2183067","ISBN":"9788895608815","author":[{"dropping-particle":"","family":"Poveda-Giraldo","given":"Jhonny A","non-dropping-particle":"","parse-names":false,"suffix":""},{"dropping-particle":"","family":"Piedrahita-Rodríguez","given":"S","non-dropping-particle":"","parse-names":false,"suffix":""},{"dropping-particle":"","family":"Cardona-Alzate","given":"C A","non-dropping-particle":"","parse-names":false,"suffix":""}],"container-title":"Chemical Engineering Transactions","id":"ITEM-1","issued":{"date-parts":[["2021"]]},"page":"397-402","title":"Life Cycle Analysis of Biotechnological Processes based on the Composition of the Raw Material . Eucalyptus , Avocado , and Plantain cases in a Biorefinery System","type":"article-journal","volume":"83"},"uris":["http://www.mendeley.com/documents/?uuid=2faf842b-c3b4-4e7d-a235-099ade8755ee"]}],"mendeley":{"formattedCitation":"(Poveda-Giraldo, Piedrahita-Rodríguez, and Cardona-Alzate 2021)","manualFormatting":"(Poveda et al., 2021)","plainTextFormattedCitation":"(Poveda-Giraldo, Piedrahita-Rodríguez, and Cardona-Alzate 2021)","previouslyFormattedCitation":"(Poveda-Giraldo, Piedrahita-Rodríguez, and Cardona-Alzate 2021)"},"properties":{"noteIndex":0},"schema":"https://github.com/citation-style-language/schema/raw/master/csl-citation.json"}</w:instrText>
      </w:r>
      <w:r w:rsidRPr="00887162">
        <w:fldChar w:fldCharType="separate"/>
      </w:r>
      <w:r w:rsidRPr="00887162">
        <w:rPr>
          <w:noProof/>
        </w:rPr>
        <w:t>(Poveda et al., 2021)</w:t>
      </w:r>
      <w:r w:rsidRPr="00887162">
        <w:fldChar w:fldCharType="end"/>
      </w:r>
      <w:r w:rsidRPr="00887162">
        <w:t xml:space="preserve">. </w:t>
      </w:r>
      <w:r w:rsidRPr="00887162">
        <w:rPr>
          <w:rFonts w:eastAsiaTheme="minorHAnsi"/>
        </w:rPr>
        <w:t xml:space="preserve">Colombia is one of the largest avocado producers in Latin America, in 2018 the country produced more than 500 metric tons of this fruit, representing 6 % of world production </w:t>
      </w:r>
      <w:r w:rsidRPr="00887162">
        <w:rPr>
          <w:rFonts w:eastAsiaTheme="minorHAnsi"/>
        </w:rPr>
        <w:fldChar w:fldCharType="begin" w:fldLock="1"/>
      </w:r>
      <w:r w:rsidRPr="00887162">
        <w:rPr>
          <w:rFonts w:eastAsiaTheme="minorHAnsi"/>
        </w:rPr>
        <w:instrText>ADDIN CSL_CITATION {"citationItems":[{"id":"ITEM-1","itemData":{"DOI":"10.1016/j.biortech.2021.126060","author":[{"dropping-particle":"","family":"Solarte-toro","given":"Juan Camilo","non-dropping-particle":"","parse-names":false,"suffix":""},{"dropping-particle":"","family":"Ortiz-sanchez","given":"Mariana","non-dropping-particle":"","parse-names":false,"suffix":""},{"dropping-particle":"","family":"Restrepo-serna","given":"Daissy Lorena","non-dropping-particle":"","parse-names":false,"suffix":""},{"dropping-particle":"","family":"Alexander","given":"P","non-dropping-particle":"","parse-names":false,"suffix":""},{"dropping-particle":"","family":"Peroza","given":"Pavel","non-dropping-particle":"","parse-names":false,"suffix":""},{"dropping-particle":"","family":"Ariel","given":"Carlos","non-dropping-particle":"","parse-names":false,"suffix":""},{"dropping-particle":"","family":"Alzate","given":"Cardona","non-dropping-particle":"","parse-names":false,"suffix":""}],"container-title":"Bioresource Technology","id":"ITEM-1","issue":"July","issued":{"date-parts":[["2021"]]},"title":"Bioresource Technology Influence of products portfolio and process contextualization on the economic performance of small- and large-scale avocado biorefineries","type":"article-journal","volume":"342"},"uris":["http://www.mendeley.com/documents/?uuid=039bf0c0-00c1-451f-987c-67847b94801b"]}],"mendeley":{"formattedCitation":"(Solarte-toro et al. 2021)","manualFormatting":"(Solarte et al., 2021)","plainTextFormattedCitation":"(Solarte-toro et al. 2021)","previouslyFormattedCitation":"(Solarte-toro et al. 2021)"},"properties":{"noteIndex":0},"schema":"https://github.com/citation-style-language/schema/raw/master/csl-citation.json"}</w:instrText>
      </w:r>
      <w:r w:rsidRPr="00887162">
        <w:rPr>
          <w:rFonts w:eastAsiaTheme="minorHAnsi"/>
        </w:rPr>
        <w:fldChar w:fldCharType="separate"/>
      </w:r>
      <w:r w:rsidRPr="00887162">
        <w:rPr>
          <w:rFonts w:eastAsiaTheme="minorHAnsi"/>
          <w:noProof/>
        </w:rPr>
        <w:t>(Solarte et al., 2021)</w:t>
      </w:r>
      <w:r w:rsidRPr="00887162">
        <w:rPr>
          <w:rFonts w:eastAsiaTheme="minorHAnsi"/>
        </w:rPr>
        <w:fldChar w:fldCharType="end"/>
      </w:r>
      <w:r w:rsidRPr="00887162">
        <w:rPr>
          <w:rFonts w:eastAsiaTheme="minorHAnsi"/>
        </w:rPr>
        <w:t xml:space="preserve">. According to DANE (2015), 75 % of the avocados produced in the country belong to </w:t>
      </w:r>
      <w:r w:rsidR="00BF58EE">
        <w:rPr>
          <w:rFonts w:eastAsiaTheme="minorHAnsi"/>
        </w:rPr>
        <w:t>the Antillean</w:t>
      </w:r>
      <w:r w:rsidRPr="00887162">
        <w:rPr>
          <w:rFonts w:eastAsiaTheme="minorHAnsi"/>
        </w:rPr>
        <w:t xml:space="preserve"> race (</w:t>
      </w:r>
      <w:r w:rsidRPr="00887162">
        <w:rPr>
          <w:rFonts w:eastAsiaTheme="minorHAnsi"/>
          <w:i/>
          <w:iCs/>
        </w:rPr>
        <w:t>Persea Americana var. Americana</w:t>
      </w:r>
      <w:r w:rsidRPr="00887162">
        <w:rPr>
          <w:rFonts w:eastAsiaTheme="minorHAnsi"/>
        </w:rPr>
        <w:t>) divided into the Lorena (</w:t>
      </w:r>
      <w:proofErr w:type="spellStart"/>
      <w:r w:rsidRPr="00887162">
        <w:rPr>
          <w:rFonts w:eastAsiaTheme="minorHAnsi"/>
          <w:i/>
          <w:iCs/>
        </w:rPr>
        <w:t>Lauraceae</w:t>
      </w:r>
      <w:proofErr w:type="spellEnd"/>
      <w:r w:rsidRPr="00887162">
        <w:rPr>
          <w:rFonts w:eastAsiaTheme="minorHAnsi"/>
        </w:rPr>
        <w:t xml:space="preserve">) and Creole varieties. In the Montes de María, in northern Colombia, deterioration of avocado fruits has been observed due to the presence of fungi, damage during transport, or due to marketing strategies </w:t>
      </w:r>
      <w:r w:rsidRPr="00887162">
        <w:rPr>
          <w:rFonts w:eastAsiaTheme="minorHAnsi"/>
          <w:lang w:val="es-CO"/>
        </w:rPr>
        <w:fldChar w:fldCharType="begin" w:fldLock="1"/>
      </w:r>
      <w:r w:rsidRPr="00887162">
        <w:rPr>
          <w:rFonts w:eastAsiaTheme="minorHAnsi"/>
        </w:rPr>
        <w:instrText>ADDIN CSL_CITATION {"citationItems":[{"id":"ITEM-1","itemData":{"DOI":"10.5154/r.rchsh.2018.09.018","ISSN":"20074034","author":[{"dropping-particle":"","family":"Burbano-Figueroa","given":"Oscar","non-dropping-particle":"","parse-names":false,"suffix":""}],"container-title":"Revista Chapingo, Serie Horticultura","id":"ITEM-1","issue":"2","issued":{"date-parts":[["2019"]]},"page":"75-102","title":"West Indian avocado agroforestry systems in Montes de María (Colombia): A conceptual model of the production system","type":"article-journal","volume":"25"},"uris":["http://www.mendeley.com/documents/?uuid=908dac20-458e-42e0-a349-af311e0be056"]}],"mendeley":{"formattedCitation":"(Burbano-Figueroa 2019)","manualFormatting":"(Burbano, 2019)","plainTextFormattedCitation":"(Burbano-Figueroa 2019)","previouslyFormattedCitation":"(Burbano-Figueroa 2019)"},"properties":{"noteIndex":0},"schema":"https://github.com/citation-style-language/schema/raw/master/csl-citation.json"}</w:instrText>
      </w:r>
      <w:r w:rsidRPr="00887162">
        <w:rPr>
          <w:rFonts w:eastAsiaTheme="minorHAnsi"/>
          <w:lang w:val="es-CO"/>
        </w:rPr>
        <w:fldChar w:fldCharType="separate"/>
      </w:r>
      <w:r w:rsidRPr="00887162">
        <w:rPr>
          <w:rFonts w:eastAsiaTheme="minorHAnsi"/>
          <w:noProof/>
        </w:rPr>
        <w:t>(Burbano, 2019)</w:t>
      </w:r>
      <w:r w:rsidRPr="00887162">
        <w:rPr>
          <w:rFonts w:eastAsiaTheme="minorHAnsi"/>
          <w:lang w:val="es-CO"/>
        </w:rPr>
        <w:fldChar w:fldCharType="end"/>
      </w:r>
      <w:r w:rsidRPr="00887162">
        <w:rPr>
          <w:rFonts w:eastAsiaTheme="minorHAnsi"/>
        </w:rPr>
        <w:t xml:space="preserve">, increasing the generation of waste. The use of this type of biomass is important to obtain value-added products by applying the biorefinery concept, in this way the effects on the environment caused by final disposal methods are mitigated </w:t>
      </w:r>
      <w:r w:rsidRPr="00887162">
        <w:fldChar w:fldCharType="begin" w:fldLock="1"/>
      </w:r>
      <w:r w:rsidRPr="00887162">
        <w:instrText>ADDIN CSL_CITATION {"citationItems":[{"id":"ITEM-1","itemData":{"DOI":"10.3303/CET2183067","ISBN":"9788895608815","author":[{"dropping-particle":"","family":"Poveda-Giraldo","given":"Jhonny A","non-dropping-particle":"","parse-names":false,"suffix":""},{"dropping-particle":"","family":"Piedrahita-Rodríguez","given":"S","non-dropping-particle":"","parse-names":false,"suffix":""},{"dropping-particle":"","family":"Cardona-Alzate","given":"C A","non-dropping-particle":"","parse-names":false,"suffix":""}],"container-title":"Chemical Engineering Transactions","id":"ITEM-1","issued":{"date-parts":[["2021"]]},"page":"397-402","title":"Life Cycle Analysis of Biotechnological Processes based on the Composition of the Raw Material . Eucalyptus , Avocado , and Plantain cases in a Biorefinery System","type":"article-journal","volume":"83"},"uris":["http://www.mendeley.com/documents/?uuid=2faf842b-c3b4-4e7d-a235-099ade8755ee"]}],"mendeley":{"formattedCitation":"(Poveda-Giraldo, Piedrahita-Rodríguez, and Cardona-Alzate 2021)","manualFormatting":"(Poveda et al., 2021)","plainTextFormattedCitation":"(Poveda-Giraldo, Piedrahita-Rodríguez, and Cardona-Alzate 2021)","previouslyFormattedCitation":"(Poveda-Giraldo, Piedrahita-Rodríguez, and Cardona-Alzate 2021)"},"properties":{"noteIndex":0},"schema":"https://github.com/citation-style-language/schema/raw/master/csl-citation.json"}</w:instrText>
      </w:r>
      <w:r w:rsidRPr="00887162">
        <w:fldChar w:fldCharType="separate"/>
      </w:r>
      <w:r w:rsidRPr="00887162">
        <w:rPr>
          <w:noProof/>
        </w:rPr>
        <w:t>(Poveda et al., 2021)</w:t>
      </w:r>
      <w:r w:rsidRPr="00887162">
        <w:fldChar w:fldCharType="end"/>
      </w:r>
      <w:r w:rsidRPr="00887162">
        <w:t xml:space="preserve">. </w:t>
      </w:r>
      <w:r w:rsidRPr="00887162">
        <w:rPr>
          <w:rFonts w:eastAsiaTheme="minorHAnsi"/>
        </w:rPr>
        <w:t xml:space="preserve"> </w:t>
      </w:r>
    </w:p>
    <w:p w14:paraId="2D26C030" w14:textId="24F6BC03" w:rsidR="00486923" w:rsidRPr="006E544A" w:rsidRDefault="005C79B1" w:rsidP="00580545">
      <w:pPr>
        <w:pStyle w:val="CETBodytext"/>
        <w:rPr>
          <w:rFonts w:eastAsiaTheme="minorHAnsi"/>
        </w:rPr>
      </w:pPr>
      <w:r w:rsidRPr="00887162">
        <w:rPr>
          <w:rFonts w:eastAsiaTheme="minorHAnsi"/>
        </w:rPr>
        <w:t xml:space="preserve">The products that are mostly obtained from avocado are guacamole and avocado oil, the latter having properties similar to those of olive oil. Obtaining the aforementioned products generates large amounts of seed and shell waste, reducing the sustainability of the process </w:t>
      </w:r>
      <w:r w:rsidRPr="00887162">
        <w:rPr>
          <w:rFonts w:eastAsiaTheme="minorHAnsi"/>
        </w:rPr>
        <w:fldChar w:fldCharType="begin" w:fldLock="1"/>
      </w:r>
      <w:r w:rsidRPr="00887162">
        <w:rPr>
          <w:rFonts w:eastAsiaTheme="minorHAnsi"/>
        </w:rPr>
        <w:instrText>ADDIN CSL_CITATION {"citationItems":[{"id":"ITEM-1","itemData":{"DOI":"10.1016/j.biortech.2021.126060","author":[{"dropping-particle":"","family":"Solarte-toro","given":"Juan Camilo","non-dropping-particle":"","parse-names":false,"suffix":""},{"dropping-particle":"","family":"Ortiz-sanchez","given":"Mariana","non-dropping-particle":"","parse-names":false,"suffix":""},{"dropping-particle":"","family":"Restrepo-serna","given":"Daissy Lorena","non-dropping-particle":"","parse-names":false,"suffix":""},{"dropping-particle":"","family":"Alexander","given":"P","non-dropping-particle":"","parse-names":false,"suffix":""},{"dropping-particle":"","family":"Peroza","given":"Pavel","non-dropping-particle":"","parse-names":false,"suffix":""},{"dropping-particle":"","family":"Ariel","given":"Carlos","non-dropping-particle":"","parse-names":false,"suffix":""},{"dropping-particle":"","family":"Alzate","given":"Cardona","non-dropping-particle":"","parse-names":false,"suffix":""}],"container-title":"Bioresource Technology","id":"ITEM-1","issue":"July","issued":{"date-parts":[["2021"]]},"title":"Bioresource Technology Influence of products portfolio and process contextualization on the economic performance of small- and large-scale avocado biorefineries","type":"article-journal","volume":"342"},"uris":["http://www.mendeley.com/documents/?uuid=039bf0c0-00c1-451f-987c-67847b94801b"]}],"mendeley":{"formattedCitation":"(Solarte-toro et al. 2021)","manualFormatting":"(Solarte et al., 2021)","plainTextFormattedCitation":"(Solarte-toro et al. 2021)","previouslyFormattedCitation":"(Solarte-toro et al. 2021)"},"properties":{"noteIndex":0},"schema":"https://github.com/citation-style-language/schema/raw/master/csl-citation.json"}</w:instrText>
      </w:r>
      <w:r w:rsidRPr="00887162">
        <w:rPr>
          <w:rFonts w:eastAsiaTheme="minorHAnsi"/>
        </w:rPr>
        <w:fldChar w:fldCharType="separate"/>
      </w:r>
      <w:r w:rsidRPr="00887162">
        <w:rPr>
          <w:rFonts w:eastAsiaTheme="minorHAnsi"/>
          <w:noProof/>
        </w:rPr>
        <w:t>(Solarte et al., 2021)</w:t>
      </w:r>
      <w:r w:rsidRPr="00887162">
        <w:rPr>
          <w:rFonts w:eastAsiaTheme="minorHAnsi"/>
        </w:rPr>
        <w:fldChar w:fldCharType="end"/>
      </w:r>
      <w:r w:rsidRPr="00887162">
        <w:rPr>
          <w:rFonts w:eastAsiaTheme="minorHAnsi"/>
        </w:rPr>
        <w:t xml:space="preserve">. The oil can be obtained by applying various techniques, including extraction with organic solvents such as hexane, chloroform, ethanol, ethyl ether, among others </w:t>
      </w:r>
      <w:r w:rsidR="00887162" w:rsidRPr="00887162">
        <w:rPr>
          <w:lang w:val="es-CO"/>
        </w:rPr>
        <w:fldChar w:fldCharType="begin" w:fldLock="1"/>
      </w:r>
      <w:r w:rsidR="00887162" w:rsidRPr="00887162">
        <w:instrText>ADDIN CSL_CITATION {"citationItems":[{"id":"ITEM-1","itemData":{"DOI":"10.1016 / j.jfoodeng.2016.09.004","author":[{"dropping-particle":"","family":"Corzzini","given":"Sayun","non-dropping-particle":"","parse-names":false,"suffix":""},{"dropping-particle":"","family":"Barros","given":"Helena","non-dropping-particle":"","parse-names":false,"suffix":""},{"dropping-particle":"","family":"Grimaldi","given":"Renato","non-dropping-particle":"","parse-names":false,"suffix":""},{"dropping-particle":"","family":"Cabral","given":"Fernando","non-dropping-particle":"","parse-names":false,"suffix":""}],"container-title":"Journal of Food Engineering","id":"ITEM-1","issued":{"date-parts":[["2017"]]},"page":"40-45","title":"Extraction of edible avocado oil using supercritical CO2 and a CO2/ethanol mixture as solvents","type":"article-journal","volume":"194"},"uris":["http://www.mendeley.com/documents/?uuid=4b3caaf7-21f1-4703-98b7-2b0b8bf0955e"]}],"mendeley":{"formattedCitation":"(Corzzini et al. 2017)","manualFormatting":"(Corzzini et al., 2017)","plainTextFormattedCitation":"(Corzzini et al. 2017)","previouslyFormattedCitation":"(Corzzini et al. 2017)"},"properties":{"noteIndex":0},"schema":"https://github.com/citation-style-language/schema/raw/master/csl-citation.json"}</w:instrText>
      </w:r>
      <w:r w:rsidR="00887162" w:rsidRPr="00887162">
        <w:rPr>
          <w:lang w:val="es-CO"/>
        </w:rPr>
        <w:fldChar w:fldCharType="separate"/>
      </w:r>
      <w:r w:rsidR="00887162" w:rsidRPr="00887162">
        <w:rPr>
          <w:noProof/>
        </w:rPr>
        <w:t>(Corzzini et al., 2017)</w:t>
      </w:r>
      <w:r w:rsidR="00887162" w:rsidRPr="00887162">
        <w:rPr>
          <w:lang w:val="es-CO"/>
        </w:rPr>
        <w:fldChar w:fldCharType="end"/>
      </w:r>
      <w:r w:rsidR="00887162" w:rsidRPr="00887162">
        <w:t xml:space="preserve">. </w:t>
      </w:r>
      <w:r w:rsidRPr="00887162">
        <w:rPr>
          <w:rFonts w:eastAsiaTheme="minorHAnsi"/>
        </w:rPr>
        <w:t xml:space="preserve">The solvent extraction method is the most used because it improves the yield of the oil, generally, the product obtained is used in the cosmetic industry </w:t>
      </w:r>
      <w:r w:rsidR="00887162" w:rsidRPr="00887162">
        <w:rPr>
          <w:lang w:val="es-CO"/>
        </w:rPr>
        <w:fldChar w:fldCharType="begin" w:fldLock="1"/>
      </w:r>
      <w:r w:rsidR="00887162" w:rsidRPr="00887162">
        <w:instrText>ADDIN CSL_CITATION {"citationItems":[{"id":"ITEM-1","itemData":{"author":[{"dropping-particle":"","family":"Perez Aldana","given":"Maria Angelica","non-dropping-particle":"","parse-names":false,"suffix":""},{"dropping-particle":"","family":"Rodriguez Linares","given":"Rafael Anibal","non-dropping-particle":"","parse-names":false,"suffix":""},{"dropping-particle":"","family":"Santos Lopez","given":"Alejandra Sarai","non-dropping-particle":"","parse-names":false,"suffix":""}],"container-title":"Universidad de El Salvador","id":"ITEM-1","issued":{"date-parts":[["2021"]]},"number-of-pages":"1-298","title":"Estudio de factibilidad del proceso de producción sostenible de aceite de aguacate (Persea americana miller) para uso en la industria de cosméticos","type":"thesis"},"uris":["http://www.mendeley.com/documents/?uuid=73f9eee7-8db4-4bf1-8418-6a15395e7778"]}],"mendeley":{"formattedCitation":"(Perez Aldana, Rodriguez Linares, and Santos Lopez 2021)","manualFormatting":"(Perez et al., 2021)","plainTextFormattedCitation":"(Perez Aldana, Rodriguez Linares, and Santos Lopez 2021)","previouslyFormattedCitation":"(Perez Aldana, Rodriguez Linares, and Santos Lopez 2021)"},"properties":{"noteIndex":0},"schema":"https://github.com/citation-style-language/schema/raw/master/csl-citation.json"}</w:instrText>
      </w:r>
      <w:r w:rsidR="00887162" w:rsidRPr="00887162">
        <w:rPr>
          <w:lang w:val="es-CO"/>
        </w:rPr>
        <w:fldChar w:fldCharType="separate"/>
      </w:r>
      <w:r w:rsidR="00887162" w:rsidRPr="00887162">
        <w:rPr>
          <w:noProof/>
        </w:rPr>
        <w:t>(Perez et al., 2021)</w:t>
      </w:r>
      <w:r w:rsidR="00887162" w:rsidRPr="00887162">
        <w:rPr>
          <w:lang w:val="es-CO"/>
        </w:rPr>
        <w:fldChar w:fldCharType="end"/>
      </w:r>
      <w:r w:rsidR="00887162" w:rsidRPr="00887162">
        <w:t xml:space="preserve">. </w:t>
      </w:r>
      <w:r w:rsidRPr="00887162">
        <w:rPr>
          <w:rFonts w:eastAsiaTheme="minorHAnsi"/>
        </w:rPr>
        <w:t xml:space="preserve">In addition, to take advantage of the avocado seed, charcoal can be obtained, which is produced mainly from pyrolysis, carbonization, or gasification of biomass (wood, grass, or residues such as the shells of different foods and sawdust). The characteristics of biochar depend on the type of substrate and the generation methods, the most common to produce it is through biomass pyrolysis, a technique in which the temperature must be controlled to ensure the characteristics of the material and its performance </w:t>
      </w:r>
      <w:r w:rsidR="00887162" w:rsidRPr="006E544A">
        <w:rPr>
          <w:lang w:val="es-CO"/>
        </w:rPr>
        <w:fldChar w:fldCharType="begin" w:fldLock="1"/>
      </w:r>
      <w:r w:rsidR="00887162" w:rsidRPr="006E544A">
        <w:instrText>ADDIN CSL_CITATION {"citationItems":[{"id":"ITEM-1","itemData":{"DOI":"10.3303/CET2183079","ISBN":"9788895608815","ISSN":"22839216","author":[{"dropping-particle":"","family":"Fan","given":"Yee","non-dropping-particle":"van","parse-names":false,"suffix":""},{"dropping-particle":"","family":"Klemeš","given":"Jiří Jaromír","non-dropping-particle":"","parse-names":false,"suffix":""},{"dropping-particle":"","family":"Lee","given":"Chew Tin","non-dropping-particle":"","parse-names":false,"suffix":""}],"container-title":"Chemical Engineering Transactions","id":"ITEM-1","issued":{"date-parts":[["2021"]]},"page":"469-474","title":"Environmental performance and techno-economic feasibility of different biochar applications: An overview","type":"article-journal","volume":"83"},"uris":["http://www.mendeley.com/documents/?uuid=8b04f8ff-0288-4834-9c8a-62dd50296642"]}],"mendeley":{"formattedCitation":"(van Fan, Klemeš, and Lee 2021)","manualFormatting":"(Van et al., 2021)","plainTextFormattedCitation":"(van Fan, Klemeš, and Lee 2021)","previouslyFormattedCitation":"(van Fan, Klemeš, and Lee 2021)"},"properties":{"noteIndex":0},"schema":"https://github.com/citation-style-language/schema/raw/master/csl-citation.json"}</w:instrText>
      </w:r>
      <w:r w:rsidR="00887162" w:rsidRPr="006E544A">
        <w:rPr>
          <w:lang w:val="es-CO"/>
        </w:rPr>
        <w:fldChar w:fldCharType="separate"/>
      </w:r>
      <w:r w:rsidR="00887162" w:rsidRPr="006E544A">
        <w:rPr>
          <w:noProof/>
        </w:rPr>
        <w:t>(Van et al., 2021)</w:t>
      </w:r>
      <w:r w:rsidR="00887162" w:rsidRPr="006E544A">
        <w:rPr>
          <w:lang w:val="es-CO"/>
        </w:rPr>
        <w:fldChar w:fldCharType="end"/>
      </w:r>
      <w:r w:rsidR="00887162" w:rsidRPr="006E544A">
        <w:t xml:space="preserve">. </w:t>
      </w:r>
      <w:r w:rsidRPr="006E544A">
        <w:rPr>
          <w:rFonts w:eastAsiaTheme="minorHAnsi"/>
        </w:rPr>
        <w:t>In the present study, the assembly of a plant in northern Colombia for the production of oil and biochar from avocado pulp and seed, respectively, was evaluated from a technical-economic point of view.</w:t>
      </w:r>
      <w:r w:rsidR="0051634B" w:rsidRPr="006E544A">
        <w:rPr>
          <w:rFonts w:eastAsiaTheme="minorHAnsi"/>
        </w:rPr>
        <w:t xml:space="preserve"> The oil is obtained by solvent extraction </w:t>
      </w:r>
      <w:r w:rsidR="0051634B" w:rsidRPr="006E544A">
        <w:rPr>
          <w:rFonts w:eastAsiaTheme="minorHAnsi"/>
        </w:rPr>
        <w:lastRenderedPageBreak/>
        <w:t xml:space="preserve">and the biochar by pyrolysis. </w:t>
      </w:r>
      <w:r w:rsidRPr="006E544A">
        <w:rPr>
          <w:rFonts w:eastAsiaTheme="minorHAnsi"/>
        </w:rPr>
        <w:t>For the evaluation and economic sensitivity, it was necessary to determine prices of equipment, raw materials, labor, type of land, among other characteristics of the process.</w:t>
      </w:r>
    </w:p>
    <w:p w14:paraId="42A7BD6A" w14:textId="77777777" w:rsidR="000613FE" w:rsidRPr="00887162" w:rsidRDefault="005C79B1" w:rsidP="000613FE">
      <w:pPr>
        <w:pStyle w:val="CETHeading1"/>
      </w:pPr>
      <w:r w:rsidRPr="00887162">
        <w:t>Materials and methods</w:t>
      </w:r>
    </w:p>
    <w:p w14:paraId="381A6C64" w14:textId="1F880A9D" w:rsidR="000613FE" w:rsidRPr="00887162" w:rsidRDefault="006E544A" w:rsidP="000613FE">
      <w:pPr>
        <w:pStyle w:val="CETheadingx"/>
      </w:pPr>
      <w:r>
        <w:t xml:space="preserve">2.1 </w:t>
      </w:r>
      <w:r w:rsidR="005C79B1" w:rsidRPr="00887162">
        <w:t>Process description</w:t>
      </w:r>
    </w:p>
    <w:p w14:paraId="68BD0CD8" w14:textId="5067C6C9" w:rsidR="00887162" w:rsidRPr="00887162" w:rsidRDefault="005C79B1" w:rsidP="00887162">
      <w:pPr>
        <w:pStyle w:val="CETBodytext"/>
      </w:pPr>
      <w:r w:rsidRPr="00887162">
        <w:t>The oil is obtained by extraction with hexane (solvent), while the biochar is produced from pyrolysis</w:t>
      </w:r>
      <w:r w:rsidR="009F3B6A" w:rsidRPr="009F3B6A">
        <w:t>, figure 1 shows the block diagram of the process</w:t>
      </w:r>
      <w:r w:rsidR="009F3B6A">
        <w:t xml:space="preserve">. </w:t>
      </w:r>
      <w:r w:rsidRPr="00887162">
        <w:t xml:space="preserve">The process begins with washing the fruit with a solution of </w:t>
      </w:r>
      <w:proofErr w:type="spellStart"/>
      <w:r w:rsidR="00F5294B">
        <w:t>NaClO</w:t>
      </w:r>
      <w:proofErr w:type="spellEnd"/>
      <w:r w:rsidRPr="00887162">
        <w:t xml:space="preserve"> (</w:t>
      </w:r>
      <w:r w:rsidR="00F5294B">
        <w:t>stream</w:t>
      </w:r>
      <w:r w:rsidRPr="00887162">
        <w:t xml:space="preserve"> 2) to remove impurities, the clean avocado is peeled and pulped, separating the peel (</w:t>
      </w:r>
      <w:r w:rsidR="00F5294B">
        <w:t xml:space="preserve">stream </w:t>
      </w:r>
      <w:r w:rsidRPr="00887162">
        <w:t>6) and the seed (</w:t>
      </w:r>
      <w:r w:rsidR="00F5294B">
        <w:t>stream</w:t>
      </w:r>
      <w:r w:rsidRPr="00887162">
        <w:t xml:space="preserve"> 8), which are sent to washing stages to recover the remaining pulp (</w:t>
      </w:r>
      <w:r w:rsidR="00200B84">
        <w:t>streams</w:t>
      </w:r>
      <w:r w:rsidRPr="00887162">
        <w:t xml:space="preserve"> 10 and 13), these </w:t>
      </w:r>
      <w:r w:rsidR="00200B84">
        <w:t>send</w:t>
      </w:r>
      <w:r w:rsidRPr="00887162">
        <w:t xml:space="preserve"> to a centrifugation stage to eliminate the water present. The extracted pulp (stream 7) and the pulp resulting from centrifugation (stream 17), are homogenized to form a paste that is subsequently dehydrated to remove the moisture present in it. Pulp drying is carried out at a temperature of 70 °C and 1 bar of pressure </w:t>
      </w:r>
      <w:r w:rsidRPr="00887162">
        <w:rPr>
          <w:lang w:val="es-CO"/>
        </w:rPr>
        <w:fldChar w:fldCharType="begin" w:fldLock="1"/>
      </w:r>
      <w:r w:rsidRPr="00887162">
        <w:instrText>ADDIN CSL_CITATION {"citationItems":[{"id":"ITEM-1","itemData":{"author":[{"dropping-particle":"","family":"Ariza Ortega","given":"José Albero","non-dropping-particle":"","parse-names":false,"suffix":""},{"dropping-particle":"","family":"López Valdez","given":"Fernando","non-dropping-particle":"","parse-names":false,"suffix":""},{"dropping-particle":"","family":"Coyotl Huerta","given":"Judith","non-dropping-particle":"","parse-names":false,"suffix":""},{"dropping-particle":"","family":"Ramos Cassellis","given":"Maria Elena","non-dropping-particle":"","parse-names":false,"suffix":""},{"dropping-particle":"","family":"Diaz Reyes","given":"Joel","non-dropping-particle":"","parse-names":false,"suffix":""},{"dropping-particle":"","family":"Martinez Zavala","given":"Arturo","non-dropping-particle":"","parse-names":false,"suffix":""}],"container-title":"Revista Venezolana de Ciencia y Tecnologia de alimentos","id":"ITEM-1","issue":"2","issued":{"date-parts":[["2011"]]},"page":"263-276","title":"Effect of different extraction methods on the fatty acid profile in the avocado (Persea americana Mill. var. Hass) oil","type":"article-journal","volume":"2"},"uris":["http://www.mendeley.com/documents/?uuid=51cb3fa4-ee47-4ea8-86f3-405d21ffce02"]}],"mendeley":{"formattedCitation":"(Ariza Ortega et al. 2011)","manualFormatting":"(Ariza et al., 2011)","plainTextFormattedCitation":"(Ariza Ortega et al. 2011)","previouslyFormattedCitation":"(Ariza Ortega et al. 2011)"},"properties":{"noteIndex":0},"schema":"https://github.com/citation-style-language/schema/raw/master/csl-citation.json"}</w:instrText>
      </w:r>
      <w:r w:rsidRPr="00887162">
        <w:rPr>
          <w:lang w:val="es-CO"/>
        </w:rPr>
        <w:fldChar w:fldCharType="separate"/>
      </w:r>
      <w:r w:rsidRPr="00887162">
        <w:rPr>
          <w:noProof/>
        </w:rPr>
        <w:t>(Ariza et al., 2011)</w:t>
      </w:r>
      <w:r w:rsidRPr="00887162">
        <w:rPr>
          <w:lang w:val="es-CO"/>
        </w:rPr>
        <w:fldChar w:fldCharType="end"/>
      </w:r>
      <w:r w:rsidRPr="00887162">
        <w:t>. The dehydrated pulp (stream 21) is put in contact with hexane to extract the avocado oil, then in the centrifugation stage, the suspended solids are removed, obtaining a residual pulp (stream 24) and an oil-solvent mixture (stream 25), which goes through a flash distillation where the oil (stream 27) is separated from the hexane, the latter is condensed and recirculated to the oil extraction stage.</w:t>
      </w:r>
    </w:p>
    <w:p w14:paraId="79640357" w14:textId="3D2CA609" w:rsidR="00347149" w:rsidRDefault="005C79B1" w:rsidP="001873B4">
      <w:pPr>
        <w:pStyle w:val="CETBodytext"/>
      </w:pPr>
      <w:r w:rsidRPr="001873B4">
        <w:t xml:space="preserve">From washing the seed to removing the remaining pulp, </w:t>
      </w:r>
      <w:r w:rsidR="0022499F" w:rsidRPr="001873B4">
        <w:t>stream</w:t>
      </w:r>
      <w:r w:rsidRPr="001873B4">
        <w:t xml:space="preserve"> 11 is obtained, corresponding to the clean seed. This is sent to a mill to reduce its size and facilitate the reduction of moisture during drying. The dehydrated seed (stream 35) is sent again to a mill to reduce the particle size of the material, then stream 37 is sent to a sieve to recirculate the material (stream 38) that does not have the right size to the mill and the resulting it is sent to the pyrolysis stage where the biochar (stream 41) and gases are obtained, the gases are condensed for later treatment. </w:t>
      </w:r>
      <w:r w:rsidR="001873B4" w:rsidRPr="001873B4">
        <w:t>The pyrolysis reactor worked at 400 °C, a temperature at which a greater conversion of biomass into biochar is obtained, it was also fed</w:t>
      </w:r>
      <w:r w:rsidRPr="001873B4">
        <w:t xml:space="preserve"> 100 cm</w:t>
      </w:r>
      <w:r w:rsidR="00B77463" w:rsidRPr="001873B4">
        <w:t>3</w:t>
      </w:r>
      <w:r w:rsidR="00F5294B" w:rsidRPr="001873B4">
        <w:t xml:space="preserve">/min of </w:t>
      </w:r>
      <w:r w:rsidR="00F5294B" w:rsidRPr="00347149">
        <w:t>nitrogen</w:t>
      </w:r>
      <w:r w:rsidRPr="00347149">
        <w:t xml:space="preserve"> to guarantee an inert atmosphere inside it to obtain the desired amount of sample (</w:t>
      </w:r>
      <w:proofErr w:type="spellStart"/>
      <w:r w:rsidRPr="00347149">
        <w:t>Durak</w:t>
      </w:r>
      <w:proofErr w:type="spellEnd"/>
      <w:r w:rsidRPr="00347149">
        <w:t xml:space="preserve"> and </w:t>
      </w:r>
      <w:proofErr w:type="spellStart"/>
      <w:r w:rsidRPr="00347149">
        <w:t>Aysu</w:t>
      </w:r>
      <w:proofErr w:type="spellEnd"/>
      <w:r w:rsidRPr="00347149">
        <w:t>, 2014).</w:t>
      </w:r>
      <w:r w:rsidR="00170D14" w:rsidRPr="00347149">
        <w:t xml:space="preserve"> </w:t>
      </w:r>
      <w:r w:rsidR="00347149" w:rsidRPr="00347149">
        <w:t>The simulation and design of the process were carried out in Aspen Plus, this software provides the mass balance and therefore yields of each product. The plant has a processing capacity of 10,605 t/a, obtaining 1,000.67 t/a of avocado oil and 505 t/a of biochar.</w:t>
      </w:r>
    </w:p>
    <w:p w14:paraId="74EA83CE" w14:textId="77777777" w:rsidR="008A0346" w:rsidRPr="001873B4" w:rsidRDefault="008A0346" w:rsidP="001873B4">
      <w:pPr>
        <w:pStyle w:val="CETBodytext"/>
      </w:pPr>
    </w:p>
    <w:p w14:paraId="331EA1A3" w14:textId="77777777" w:rsidR="009F3B6A" w:rsidRPr="002950EC" w:rsidRDefault="009F3B6A" w:rsidP="009F3B6A">
      <w:pPr>
        <w:spacing w:line="22" w:lineRule="atLeast"/>
        <w:rPr>
          <w:rFonts w:cs="Arial"/>
          <w:noProof/>
          <w:szCs w:val="18"/>
          <w:highlight w:val="red"/>
          <w:lang w:val="en-US" w:eastAsia="es-ES_tradnl"/>
        </w:rPr>
      </w:pPr>
      <w:r>
        <w:rPr>
          <w:noProof/>
        </w:rPr>
        <w:drawing>
          <wp:inline distT="0" distB="0" distL="0" distR="0" wp14:anchorId="5B9D8655" wp14:editId="45373F53">
            <wp:extent cx="5579745" cy="23761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79745" cy="2376170"/>
                    </a:xfrm>
                    <a:prstGeom prst="rect">
                      <a:avLst/>
                    </a:prstGeom>
                    <a:noFill/>
                    <a:ln>
                      <a:noFill/>
                    </a:ln>
                  </pic:spPr>
                </pic:pic>
              </a:graphicData>
            </a:graphic>
          </wp:inline>
        </w:drawing>
      </w:r>
    </w:p>
    <w:p w14:paraId="392BAD20" w14:textId="77777777" w:rsidR="009F3B6A" w:rsidRPr="00A74A4A" w:rsidRDefault="009F3B6A" w:rsidP="009F3B6A">
      <w:pPr>
        <w:pStyle w:val="CETCaption"/>
      </w:pPr>
      <w:r w:rsidRPr="00A74A4A">
        <w:t>Figure 1</w:t>
      </w:r>
      <w:r>
        <w:t>:</w:t>
      </w:r>
      <w:r w:rsidRPr="00A74A4A">
        <w:t xml:space="preserve"> Process flow diagram of </w:t>
      </w:r>
      <w:r>
        <w:t>dual</w:t>
      </w:r>
      <w:r w:rsidRPr="00A74A4A">
        <w:t xml:space="preserve"> </w:t>
      </w:r>
      <w:r>
        <w:t>O</w:t>
      </w:r>
      <w:r w:rsidRPr="00A74A4A">
        <w:t xml:space="preserve">il </w:t>
      </w:r>
      <w:r>
        <w:t>and Biochar production from creole avocado</w:t>
      </w:r>
      <w:r w:rsidRPr="00A74A4A">
        <w:t>.</w:t>
      </w:r>
    </w:p>
    <w:p w14:paraId="4143B5AE" w14:textId="31C836F5" w:rsidR="000613FE" w:rsidRDefault="006E544A" w:rsidP="00FD698F">
      <w:pPr>
        <w:pStyle w:val="CETheadingx"/>
      </w:pPr>
      <w:bookmarkStart w:id="1" w:name="_Hlk93012733"/>
      <w:r>
        <w:t xml:space="preserve">2.2 </w:t>
      </w:r>
      <w:r w:rsidR="005C79B1">
        <w:t>Economic</w:t>
      </w:r>
      <w:r w:rsidR="005C79B1" w:rsidRPr="005B165B">
        <w:t xml:space="preserve"> analysis</w:t>
      </w:r>
    </w:p>
    <w:p w14:paraId="5D9DAC53" w14:textId="3C7E00AC" w:rsidR="00C74FBA" w:rsidRPr="00B84823" w:rsidRDefault="005C79B1" w:rsidP="00C74FBA">
      <w:pPr>
        <w:pStyle w:val="CETBodytext"/>
      </w:pPr>
      <w:r w:rsidRPr="00B77463">
        <w:t>For the assembly of a plant to obtain avocado oil and biochar, it was necessary to collect information about th</w:t>
      </w:r>
      <w:r w:rsidR="00A918A4">
        <w:t xml:space="preserve">e </w:t>
      </w:r>
      <w:r w:rsidRPr="00B77463">
        <w:t>equipment prices, industrial services, labor, taxes, type of soil, as well as apply equations that allow evaluating the behavior of the process from an economic point of view</w:t>
      </w:r>
      <w:r w:rsidR="0048388D">
        <w:t xml:space="preserve"> </w:t>
      </w:r>
      <w:r w:rsidR="0048388D">
        <w:fldChar w:fldCharType="begin" w:fldLock="1"/>
      </w:r>
      <w:r w:rsidR="00940DB2">
        <w:instrText>ADDIN CSL_CITATION {"citationItems":[{"id":"ITEM-1","itemData":{"DOI":"10.3303/CET1757003","ISBN":"9788895608488","ISSN":"22839216","author":[{"dropping-particle":"","family":"Romero Perez","given":"Juan C.","non-dropping-particle":"","parse-names":false,"suffix":""},{"dropping-particle":"","family":"Vergara Echeverry","given":"Leidy A.","non-dropping-particle":"","parse-names":false,"suffix":""},{"dropping-particle":"","family":"Peralta-Ruiz","given":"Yeimmy Y.","non-dropping-particle":"","parse-names":false,"suffix":""},{"dropping-particle":"","family":"González-Delgado","given":"Angel D.","non-dropping-particle":"","parse-names":false,"suffix":""}],"container-title":"Chemical Engineering Transactions","id":"ITEM-1","issued":{"date-parts":[["2017"]]},"page":"13-18","title":"A techno-economic sensitivity approach for development of a palm-based biorefineries in Colombia","type":"article-journal","volume":"57"},"uris":["http://www.mendeley.com/documents/?uuid=5f0b1a7c-a48d-4fd1-b73e-59a8cc357155"]}],"mendeley":{"formattedCitation":"(Romero Perez et al. 2017)","manualFormatting":"(Romero et al., 2017)","plainTextFormattedCitation":"(Romero Perez et al. 2017)","previouslyFormattedCitation":"(Romero Perez et al. 2017)"},"properties":{"noteIndex":0},"schema":"https://github.com/citation-style-language/schema/raw/master/csl-citation.json"}</w:instrText>
      </w:r>
      <w:r w:rsidR="0048388D">
        <w:fldChar w:fldCharType="separate"/>
      </w:r>
      <w:r w:rsidR="0048388D" w:rsidRPr="0048388D">
        <w:rPr>
          <w:noProof/>
        </w:rPr>
        <w:t>(Romero</w:t>
      </w:r>
      <w:r w:rsidR="0048388D">
        <w:rPr>
          <w:noProof/>
        </w:rPr>
        <w:t xml:space="preserve"> </w:t>
      </w:r>
      <w:r w:rsidR="0048388D" w:rsidRPr="0048388D">
        <w:rPr>
          <w:noProof/>
        </w:rPr>
        <w:t>et al.</w:t>
      </w:r>
      <w:r w:rsidR="0048388D">
        <w:rPr>
          <w:noProof/>
        </w:rPr>
        <w:t>,</w:t>
      </w:r>
      <w:r w:rsidR="0048388D" w:rsidRPr="0048388D">
        <w:rPr>
          <w:noProof/>
        </w:rPr>
        <w:t xml:space="preserve"> 2017)</w:t>
      </w:r>
      <w:r w:rsidR="0048388D">
        <w:fldChar w:fldCharType="end"/>
      </w:r>
      <w:r w:rsidRPr="00B77463">
        <w:t>. The total capital investment is calculated with Eq. (1), where FCIs is the money needed to make payments for equipment, civil structures, land preparation, control system, facilities, among others. The WCI corresponds to the working capital investment and the SUC to the start-up costs, such as legal expenses, advertising, employee training</w:t>
      </w:r>
      <w:r w:rsidR="00A918A4">
        <w:t xml:space="preserve">. </w:t>
      </w:r>
      <w:r w:rsidRPr="00B84823">
        <w:t>On the other hand, the necessary expenses to have the plant in operation are calculated through Eq. (2). Annualized fixed costs are determined using Eq. (3). If the operating costs are given per unit of product, Eq. (4), corresponds to the normalized</w:t>
      </w:r>
      <w:r w:rsidR="00845C75">
        <w:t xml:space="preserve"> </w:t>
      </w:r>
      <w:r w:rsidRPr="00B84823">
        <w:t>total operating costs. Likewise, Eq. (5) represents the total annualized costs for a process.</w:t>
      </w:r>
    </w:p>
    <w:tbl>
      <w:tblPr>
        <w:tblStyle w:val="Tabladecuadrcula2"/>
        <w:tblW w:w="492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088"/>
        <w:gridCol w:w="1558"/>
      </w:tblGrid>
      <w:tr w:rsidR="00E76E8D" w14:paraId="1F179531" w14:textId="77777777" w:rsidTr="00E76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tcBorders>
              <w:top w:val="none" w:sz="0" w:space="0" w:color="auto"/>
              <w:bottom w:val="none" w:sz="0" w:space="0" w:color="auto"/>
              <w:right w:val="none" w:sz="0" w:space="0" w:color="auto"/>
            </w:tcBorders>
            <w:shd w:val="clear" w:color="auto" w:fill="auto"/>
          </w:tcPr>
          <w:bookmarkEnd w:id="1"/>
          <w:p w14:paraId="04E8DD5F" w14:textId="77777777" w:rsidR="007A0EA2" w:rsidRPr="000C7944" w:rsidRDefault="005C79B1" w:rsidP="000C7944">
            <w:pPr>
              <w:pStyle w:val="CETEquation"/>
            </w:pPr>
            <m:oMathPara>
              <m:oMathParaPr>
                <m:jc m:val="left"/>
              </m:oMathParaPr>
              <m:oMath>
                <m:r>
                  <m:rPr>
                    <m:sty m:val="bi"/>
                  </m:rPr>
                  <w:rPr>
                    <w:rFonts w:ascii="Cambria Math" w:hAnsi="Cambria Math"/>
                  </w:rPr>
                  <w:lastRenderedPageBreak/>
                  <m:t>TCI</m:t>
                </m:r>
                <m:r>
                  <m:rPr>
                    <m:sty m:val="b"/>
                  </m:rPr>
                  <w:rPr>
                    <w:rFonts w:ascii="Cambria Math" w:hAnsi="Cambria Math"/>
                  </w:rPr>
                  <m:t>=</m:t>
                </m:r>
                <m:r>
                  <m:rPr>
                    <m:sty m:val="bi"/>
                  </m:rPr>
                  <w:rPr>
                    <w:rFonts w:ascii="Cambria Math" w:hAnsi="Cambria Math"/>
                  </w:rPr>
                  <m:t>FCI</m:t>
                </m:r>
                <m:r>
                  <m:rPr>
                    <m:sty m:val="b"/>
                  </m:rPr>
                  <w:rPr>
                    <w:rFonts w:ascii="Cambria Math" w:hAnsi="Cambria Math"/>
                  </w:rPr>
                  <m:t>+</m:t>
                </m:r>
                <m:r>
                  <m:rPr>
                    <m:sty m:val="bi"/>
                  </m:rPr>
                  <w:rPr>
                    <w:rFonts w:ascii="Cambria Math" w:hAnsi="Cambria Math"/>
                  </w:rPr>
                  <m:t>WCI</m:t>
                </m:r>
                <m:r>
                  <m:rPr>
                    <m:sty m:val="b"/>
                  </m:rPr>
                  <w:rPr>
                    <w:rFonts w:ascii="Cambria Math" w:hAnsi="Cambria Math"/>
                  </w:rPr>
                  <m:t>+</m:t>
                </m:r>
                <m:r>
                  <m:rPr>
                    <m:sty m:val="bi"/>
                  </m:rPr>
                  <w:rPr>
                    <w:rFonts w:ascii="Cambria Math" w:hAnsi="Cambria Math"/>
                  </w:rPr>
                  <m:t>SUC</m:t>
                </m:r>
              </m:oMath>
            </m:oMathPara>
          </w:p>
        </w:tc>
        <w:tc>
          <w:tcPr>
            <w:tcW w:w="901" w:type="pct"/>
            <w:tcBorders>
              <w:top w:val="none" w:sz="0" w:space="0" w:color="auto"/>
              <w:left w:val="none" w:sz="0" w:space="0" w:color="auto"/>
              <w:bottom w:val="none" w:sz="0" w:space="0" w:color="auto"/>
            </w:tcBorders>
            <w:shd w:val="clear" w:color="auto" w:fill="auto"/>
          </w:tcPr>
          <w:p w14:paraId="74814A98" w14:textId="77777777" w:rsidR="007A0EA2" w:rsidRPr="00044D5E" w:rsidRDefault="005C79B1" w:rsidP="000C7944">
            <w:pPr>
              <w:pStyle w:val="CETEquation"/>
              <w:cnfStyle w:val="100000000000" w:firstRow="1" w:lastRow="0" w:firstColumn="0" w:lastColumn="0" w:oddVBand="0" w:evenVBand="0" w:oddHBand="0" w:evenHBand="0" w:firstRowFirstColumn="0" w:firstRowLastColumn="0" w:lastRowFirstColumn="0" w:lastRowLastColumn="0"/>
              <w:rPr>
                <w:b w:val="0"/>
                <w:bCs w:val="0"/>
              </w:rPr>
            </w:pPr>
            <w:r w:rsidRPr="00044D5E">
              <w:rPr>
                <w:b w:val="0"/>
                <w:bCs w:val="0"/>
              </w:rPr>
              <w:t>(1)</w:t>
            </w:r>
          </w:p>
        </w:tc>
      </w:tr>
      <w:tr w:rsidR="00E76E8D" w14:paraId="15CDBDDB" w14:textId="77777777" w:rsidTr="00E76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66C348E6" w14:textId="77777777" w:rsidR="000C7944" w:rsidRPr="000C7944" w:rsidRDefault="005C79B1" w:rsidP="000C7944">
            <w:pPr>
              <w:pStyle w:val="CETEquation"/>
            </w:pPr>
            <m:oMathPara>
              <m:oMathParaPr>
                <m:jc m:val="left"/>
              </m:oMathParaPr>
              <m:oMath>
                <m:r>
                  <m:rPr>
                    <m:sty m:val="bi"/>
                  </m:rPr>
                  <w:rPr>
                    <w:rFonts w:ascii="Cambria Math" w:hAnsi="Cambria Math"/>
                  </w:rPr>
                  <m:t>OC</m:t>
                </m:r>
                <m:r>
                  <m:rPr>
                    <m:sty m:val="b"/>
                  </m:rPr>
                  <w:rPr>
                    <w:rFonts w:ascii="Cambria Math" w:hAnsi="Cambria Math"/>
                  </w:rPr>
                  <m:t>=</m:t>
                </m:r>
                <m:r>
                  <m:rPr>
                    <m:sty m:val="bi"/>
                  </m:rPr>
                  <w:rPr>
                    <w:rFonts w:ascii="Cambria Math" w:hAnsi="Cambria Math"/>
                  </w:rPr>
                  <m:t>DPC</m:t>
                </m:r>
                <m:r>
                  <m:rPr>
                    <m:sty m:val="b"/>
                  </m:rPr>
                  <w:rPr>
                    <w:rFonts w:ascii="Cambria Math" w:hAnsi="Cambria Math"/>
                  </w:rPr>
                  <m:t>+</m:t>
                </m:r>
                <m:r>
                  <m:rPr>
                    <m:sty m:val="bi"/>
                  </m:rPr>
                  <w:rPr>
                    <w:rFonts w:ascii="Cambria Math" w:hAnsi="Cambria Math"/>
                  </w:rPr>
                  <m:t>FCH</m:t>
                </m:r>
                <m:r>
                  <m:rPr>
                    <m:sty m:val="b"/>
                  </m:rPr>
                  <w:rPr>
                    <w:rFonts w:ascii="Cambria Math" w:hAnsi="Cambria Math"/>
                  </w:rPr>
                  <m:t>+</m:t>
                </m:r>
                <m:r>
                  <m:rPr>
                    <m:sty m:val="bi"/>
                  </m:rPr>
                  <w:rPr>
                    <w:rFonts w:ascii="Cambria Math" w:hAnsi="Cambria Math"/>
                  </w:rPr>
                  <m:t>POH</m:t>
                </m:r>
                <m:r>
                  <m:rPr>
                    <m:sty m:val="b"/>
                  </m:rPr>
                  <w:rPr>
                    <w:rFonts w:ascii="Cambria Math" w:hAnsi="Cambria Math"/>
                  </w:rPr>
                  <m:t>+</m:t>
                </m:r>
                <m:r>
                  <m:rPr>
                    <m:sty m:val="bi"/>
                  </m:rPr>
                  <w:rPr>
                    <w:rFonts w:ascii="Cambria Math" w:hAnsi="Cambria Math"/>
                  </w:rPr>
                  <m:t>GE</m:t>
                </m:r>
              </m:oMath>
            </m:oMathPara>
          </w:p>
        </w:tc>
        <w:tc>
          <w:tcPr>
            <w:tcW w:w="901" w:type="pct"/>
            <w:shd w:val="clear" w:color="auto" w:fill="auto"/>
          </w:tcPr>
          <w:p w14:paraId="6CD0800F" w14:textId="77777777" w:rsidR="000C7944" w:rsidRPr="000C7944" w:rsidRDefault="005C79B1" w:rsidP="000C7944">
            <w:pPr>
              <w:pStyle w:val="CETEquation"/>
              <w:cnfStyle w:val="000000100000" w:firstRow="0" w:lastRow="0" w:firstColumn="0" w:lastColumn="0" w:oddVBand="0" w:evenVBand="0" w:oddHBand="1" w:evenHBand="0" w:firstRowFirstColumn="0" w:firstRowLastColumn="0" w:lastRowFirstColumn="0" w:lastRowLastColumn="0"/>
            </w:pPr>
            <w:r w:rsidRPr="000C7944">
              <w:t>(2)</w:t>
            </w:r>
          </w:p>
        </w:tc>
      </w:tr>
      <w:tr w:rsidR="00E76E8D" w14:paraId="6AB056E2" w14:textId="77777777" w:rsidTr="00E76E8D">
        <w:trPr>
          <w:trHeight w:val="146"/>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10F93E86" w14:textId="77777777" w:rsidR="007A0EA2" w:rsidRPr="000C7944" w:rsidRDefault="005C79B1" w:rsidP="000C7944">
            <w:pPr>
              <w:pStyle w:val="CETEquation"/>
            </w:pPr>
            <m:oMathPara>
              <m:oMathParaPr>
                <m:jc m:val="left"/>
              </m:oMathParaPr>
              <m:oMath>
                <m:r>
                  <m:rPr>
                    <m:sty m:val="bi"/>
                  </m:rPr>
                  <w:rPr>
                    <w:rFonts w:ascii="Cambria Math" w:hAnsi="Cambria Math"/>
                  </w:rPr>
                  <m:t>ACF</m:t>
                </m:r>
                <m:r>
                  <m:rPr>
                    <m:sty m:val="b"/>
                  </m:rPr>
                  <w:rPr>
                    <w:rFonts w:ascii="Cambria Math" w:hAnsi="Cambria Math"/>
                  </w:rPr>
                  <m:t>=</m:t>
                </m:r>
                <m:f>
                  <m:fPr>
                    <m:ctrlPr>
                      <w:rPr>
                        <w:rFonts w:ascii="Cambria Math" w:hAnsi="Cambria Math"/>
                      </w:rPr>
                    </m:ctrlPr>
                  </m:fPr>
                  <m:num>
                    <m:r>
                      <m:rPr>
                        <m:sty m:val="bi"/>
                      </m:rPr>
                      <w:rPr>
                        <w:rFonts w:ascii="Cambria Math" w:hAnsi="Cambria Math"/>
                      </w:rPr>
                      <m:t>FC</m:t>
                    </m:r>
                    <m:sSub>
                      <m:sSubPr>
                        <m:ctrlPr>
                          <w:rPr>
                            <w:rFonts w:ascii="Cambria Math" w:hAnsi="Cambria Math"/>
                          </w:rPr>
                        </m:ctrlPr>
                      </m:sSubPr>
                      <m:e>
                        <m:r>
                          <m:rPr>
                            <m:sty m:val="bi"/>
                          </m:rPr>
                          <w:rPr>
                            <w:rFonts w:ascii="Cambria Math" w:hAnsi="Cambria Math"/>
                          </w:rPr>
                          <m:t>I</m:t>
                        </m:r>
                      </m:e>
                      <m:sub>
                        <m:r>
                          <m:rPr>
                            <m:sty m:val="b"/>
                          </m:rPr>
                          <w:rPr>
                            <w:rFonts w:ascii="Cambria Math" w:hAnsi="Cambria Math"/>
                          </w:rPr>
                          <m:t>0</m:t>
                        </m:r>
                      </m:sub>
                    </m:sSub>
                    <m:r>
                      <m:rPr>
                        <m:sty m:val="b"/>
                      </m:rPr>
                      <w:rPr>
                        <w:rFonts w:ascii="Cambria Math" w:hAnsi="Cambria Math"/>
                      </w:rPr>
                      <m:t>-</m:t>
                    </m:r>
                    <m:r>
                      <m:rPr>
                        <m:sty m:val="bi"/>
                      </m:rPr>
                      <w:rPr>
                        <w:rFonts w:ascii="Cambria Math" w:hAnsi="Cambria Math"/>
                      </w:rPr>
                      <m:t>FC</m:t>
                    </m:r>
                    <m:sSub>
                      <m:sSubPr>
                        <m:ctrlPr>
                          <w:rPr>
                            <w:rFonts w:ascii="Cambria Math" w:hAnsi="Cambria Math"/>
                          </w:rPr>
                        </m:ctrlPr>
                      </m:sSubPr>
                      <m:e>
                        <m:r>
                          <m:rPr>
                            <m:sty m:val="bi"/>
                          </m:rPr>
                          <w:rPr>
                            <w:rFonts w:ascii="Cambria Math" w:hAnsi="Cambria Math"/>
                          </w:rPr>
                          <m:t>I</m:t>
                        </m:r>
                      </m:e>
                      <m:sub>
                        <m:r>
                          <m:rPr>
                            <m:sty m:val="bi"/>
                          </m:rPr>
                          <w:rPr>
                            <w:rFonts w:ascii="Cambria Math" w:hAnsi="Cambria Math"/>
                          </w:rPr>
                          <m:t>S</m:t>
                        </m:r>
                      </m:sub>
                    </m:sSub>
                  </m:num>
                  <m:den>
                    <m:r>
                      <m:rPr>
                        <m:sty m:val="bi"/>
                      </m:rPr>
                      <w:rPr>
                        <w:rFonts w:ascii="Cambria Math" w:hAnsi="Cambria Math"/>
                      </w:rPr>
                      <m:t>N</m:t>
                    </m:r>
                  </m:den>
                </m:f>
              </m:oMath>
            </m:oMathPara>
          </w:p>
        </w:tc>
        <w:tc>
          <w:tcPr>
            <w:tcW w:w="901" w:type="pct"/>
            <w:shd w:val="clear" w:color="auto" w:fill="auto"/>
          </w:tcPr>
          <w:p w14:paraId="44E0447D" w14:textId="77777777" w:rsidR="007A0EA2" w:rsidRPr="000C7944" w:rsidRDefault="005C79B1" w:rsidP="000C7944">
            <w:pPr>
              <w:pStyle w:val="CETEquation"/>
              <w:cnfStyle w:val="000000000000" w:firstRow="0" w:lastRow="0" w:firstColumn="0" w:lastColumn="0" w:oddVBand="0" w:evenVBand="0" w:oddHBand="0" w:evenHBand="0" w:firstRowFirstColumn="0" w:firstRowLastColumn="0" w:lastRowFirstColumn="0" w:lastRowLastColumn="0"/>
            </w:pPr>
            <w:r w:rsidRPr="000C7944">
              <w:t>(</w:t>
            </w:r>
            <w:r w:rsidR="00754123" w:rsidRPr="000C7944">
              <w:t>3</w:t>
            </w:r>
            <w:r w:rsidRPr="000C7944">
              <w:t>)</w:t>
            </w:r>
          </w:p>
        </w:tc>
      </w:tr>
      <w:tr w:rsidR="00E76E8D" w14:paraId="5CD9AEC1" w14:textId="77777777" w:rsidTr="00E76E8D">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0A021663" w14:textId="77777777" w:rsidR="007A0EA2" w:rsidRPr="000C7944" w:rsidRDefault="005C79B1" w:rsidP="000C7944">
            <w:pPr>
              <w:pStyle w:val="CETEquation"/>
            </w:pPr>
            <m:oMathPara>
              <m:oMathParaPr>
                <m:jc m:val="left"/>
              </m:oMathParaPr>
              <m:oMath>
                <m:r>
                  <m:rPr>
                    <m:sty m:val="bi"/>
                  </m:rPr>
                  <w:rPr>
                    <w:rFonts w:ascii="Cambria Math" w:eastAsiaTheme="minorEastAsia" w:hAnsi="Cambria Math"/>
                  </w:rPr>
                  <m:t>NOC</m:t>
                </m:r>
                <m:r>
                  <m:rPr>
                    <m:sty m:val="b"/>
                  </m:rPr>
                  <w:rPr>
                    <w:rFonts w:ascii="Cambria Math" w:eastAsiaTheme="minorEastAsia" w:hAnsi="Cambria Math"/>
                  </w:rPr>
                  <m:t>=</m:t>
                </m:r>
                <m:f>
                  <m:fPr>
                    <m:ctrlPr>
                      <w:rPr>
                        <w:rFonts w:ascii="Cambria Math" w:hAnsi="Cambria Math"/>
                      </w:rPr>
                    </m:ctrlPr>
                  </m:fPr>
                  <m:num>
                    <m:r>
                      <m:rPr>
                        <m:sty m:val="bi"/>
                      </m:rPr>
                      <w:rPr>
                        <w:rFonts w:ascii="Cambria Math" w:eastAsiaTheme="minorEastAsia" w:hAnsi="Cambria Math"/>
                      </w:rPr>
                      <m:t>AOC</m:t>
                    </m:r>
                  </m:num>
                  <m:den>
                    <m:sSub>
                      <m:sSubPr>
                        <m:ctrlPr>
                          <w:rPr>
                            <w:rFonts w:ascii="Cambria Math" w:hAnsi="Cambria Math"/>
                          </w:rPr>
                        </m:ctrlPr>
                      </m:sSubPr>
                      <m:e>
                        <m:r>
                          <m:rPr>
                            <m:sty m:val="bi"/>
                          </m:rPr>
                          <w:rPr>
                            <w:rFonts w:ascii="Cambria Math" w:eastAsiaTheme="minorEastAsia" w:hAnsi="Cambria Math"/>
                          </w:rPr>
                          <m:t>m</m:t>
                        </m:r>
                      </m:e>
                      <m:sub>
                        <m:r>
                          <m:rPr>
                            <m:sty m:val="bi"/>
                          </m:rPr>
                          <w:rPr>
                            <w:rFonts w:ascii="Cambria Math" w:eastAsiaTheme="minorEastAsia" w:hAnsi="Cambria Math"/>
                          </w:rPr>
                          <m:t>RM</m:t>
                        </m:r>
                      </m:sub>
                    </m:sSub>
                  </m:den>
                </m:f>
                <m:r>
                  <m:rPr>
                    <m:sty m:val="b"/>
                  </m:rPr>
                  <w:rPr>
                    <w:rFonts w:ascii="Cambria Math" w:eastAsiaTheme="minorEastAsia" w:hAnsi="Cambria Math"/>
                  </w:rPr>
                  <m:t xml:space="preserve"> </m:t>
                </m:r>
              </m:oMath>
            </m:oMathPara>
          </w:p>
        </w:tc>
        <w:tc>
          <w:tcPr>
            <w:tcW w:w="901" w:type="pct"/>
            <w:shd w:val="clear" w:color="auto" w:fill="auto"/>
          </w:tcPr>
          <w:p w14:paraId="0D21983A" w14:textId="77777777" w:rsidR="000C2B1E" w:rsidRPr="000C7944" w:rsidRDefault="005C79B1" w:rsidP="000C7944">
            <w:pPr>
              <w:pStyle w:val="CETEquation"/>
              <w:cnfStyle w:val="000000100000" w:firstRow="0" w:lastRow="0" w:firstColumn="0" w:lastColumn="0" w:oddVBand="0" w:evenVBand="0" w:oddHBand="1" w:evenHBand="0" w:firstRowFirstColumn="0" w:firstRowLastColumn="0" w:lastRowFirstColumn="0" w:lastRowLastColumn="0"/>
            </w:pPr>
            <w:r w:rsidRPr="000C7944">
              <w:t>(4)</w:t>
            </w:r>
          </w:p>
        </w:tc>
      </w:tr>
      <w:tr w:rsidR="00E76E8D" w14:paraId="618ECB9B" w14:textId="77777777" w:rsidTr="00E76E8D">
        <w:trPr>
          <w:trHeight w:val="505"/>
        </w:trPr>
        <w:tc>
          <w:tcPr>
            <w:cnfStyle w:val="001000000000" w:firstRow="0" w:lastRow="0" w:firstColumn="1" w:lastColumn="0" w:oddVBand="0" w:evenVBand="0" w:oddHBand="0" w:evenHBand="0" w:firstRowFirstColumn="0" w:firstRowLastColumn="0" w:lastRowFirstColumn="0" w:lastRowLastColumn="0"/>
            <w:tcW w:w="4099" w:type="pct"/>
            <w:shd w:val="clear" w:color="auto" w:fill="auto"/>
          </w:tcPr>
          <w:p w14:paraId="2611F91B" w14:textId="77777777" w:rsidR="007A0EA2" w:rsidRPr="000C7944" w:rsidRDefault="005C79B1" w:rsidP="000C7944">
            <w:pPr>
              <w:pStyle w:val="CETEquation"/>
              <w:rPr>
                <w:rFonts w:eastAsia="Calibri"/>
              </w:rPr>
            </w:pPr>
            <m:oMathPara>
              <m:oMathParaPr>
                <m:jc m:val="left"/>
              </m:oMathParaPr>
              <m:oMath>
                <m:r>
                  <m:rPr>
                    <m:sty m:val="bi"/>
                  </m:rPr>
                  <w:rPr>
                    <w:rFonts w:ascii="Cambria Math" w:hAnsi="Cambria Math"/>
                  </w:rPr>
                  <m:t>TAC</m:t>
                </m:r>
                <m:r>
                  <m:rPr>
                    <m:sty m:val="b"/>
                  </m:rPr>
                  <w:rPr>
                    <w:rFonts w:ascii="Cambria Math" w:hAnsi="Cambria Math"/>
                  </w:rPr>
                  <m:t>=</m:t>
                </m:r>
                <m:r>
                  <m:rPr>
                    <m:sty m:val="bi"/>
                  </m:rPr>
                  <w:rPr>
                    <w:rFonts w:ascii="Cambria Math" w:hAnsi="Cambria Math"/>
                  </w:rPr>
                  <m:t>ACF</m:t>
                </m:r>
                <m:r>
                  <m:rPr>
                    <m:sty m:val="b"/>
                  </m:rPr>
                  <w:rPr>
                    <w:rFonts w:ascii="Cambria Math" w:hAnsi="Cambria Math"/>
                  </w:rPr>
                  <m:t>+</m:t>
                </m:r>
                <m:r>
                  <m:rPr>
                    <m:sty m:val="bi"/>
                  </m:rPr>
                  <w:rPr>
                    <w:rFonts w:ascii="Cambria Math" w:hAnsi="Cambria Math"/>
                  </w:rPr>
                  <m:t>AOC</m:t>
                </m:r>
              </m:oMath>
            </m:oMathPara>
          </w:p>
        </w:tc>
        <w:tc>
          <w:tcPr>
            <w:tcW w:w="901" w:type="pct"/>
            <w:shd w:val="clear" w:color="auto" w:fill="auto"/>
          </w:tcPr>
          <w:p w14:paraId="1A8E563B" w14:textId="77777777" w:rsidR="007A0EA2" w:rsidRPr="000C7944" w:rsidRDefault="005C79B1" w:rsidP="000C7944">
            <w:pPr>
              <w:pStyle w:val="CETEquation"/>
              <w:cnfStyle w:val="000000000000" w:firstRow="0" w:lastRow="0" w:firstColumn="0" w:lastColumn="0" w:oddVBand="0" w:evenVBand="0" w:oddHBand="0" w:evenHBand="0" w:firstRowFirstColumn="0" w:firstRowLastColumn="0" w:lastRowFirstColumn="0" w:lastRowLastColumn="0"/>
              <w:rPr>
                <w:rFonts w:eastAsia="Calibri"/>
              </w:rPr>
            </w:pPr>
            <w:r w:rsidRPr="000C7944">
              <w:rPr>
                <w:rFonts w:eastAsia="Calibri"/>
              </w:rPr>
              <w:t>(</w:t>
            </w:r>
            <w:r w:rsidR="000C2B1E" w:rsidRPr="000C7944">
              <w:rPr>
                <w:rFonts w:eastAsia="Calibri"/>
              </w:rPr>
              <w:t>5</w:t>
            </w:r>
            <w:r w:rsidRPr="000C7944">
              <w:rPr>
                <w:rFonts w:eastAsia="Calibri"/>
              </w:rPr>
              <w:t>)</w:t>
            </w:r>
          </w:p>
        </w:tc>
      </w:tr>
    </w:tbl>
    <w:p w14:paraId="3E25DFA9" w14:textId="77777777" w:rsidR="00B51EB7" w:rsidRPr="00B84823" w:rsidRDefault="005C79B1" w:rsidP="00B77463">
      <w:pPr>
        <w:pStyle w:val="CETBodytext"/>
      </w:pPr>
      <w:r w:rsidRPr="0022499F">
        <w:t>Concerning the indicators, equations are used that allow knowing the behavior of the process, because the recovery time of the investment is identified, operating breakeven point taking into account the processing capacity of avocado, and the changes in the price. of the same. Eq. (6) is applied to calculate the real profit of a project, after having paid taxes, interests, loans. With Eq. (7) the gross profits of the process are determined with depreciation included, likewise, the CCF or relationship between the profits of a process for the capital investment is calculated through Eq. (8), for a process to be attractive this ratio must be less than 1.</w:t>
      </w:r>
    </w:p>
    <w:tbl>
      <w:tblPr>
        <w:tblStyle w:val="Tabladecuadrcula2"/>
        <w:tblW w:w="494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008"/>
        <w:gridCol w:w="1674"/>
      </w:tblGrid>
      <w:tr w:rsidR="00E76E8D" w14:paraId="10FA5D35" w14:textId="77777777" w:rsidTr="00E76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6" w:type="pct"/>
            <w:tcBorders>
              <w:top w:val="none" w:sz="0" w:space="0" w:color="auto"/>
              <w:bottom w:val="none" w:sz="0" w:space="0" w:color="auto"/>
              <w:right w:val="none" w:sz="0" w:space="0" w:color="auto"/>
            </w:tcBorders>
            <w:shd w:val="clear" w:color="auto" w:fill="auto"/>
          </w:tcPr>
          <w:p w14:paraId="4E0234E1" w14:textId="77777777" w:rsidR="00B51EB7" w:rsidRPr="005A44D6" w:rsidRDefault="005C79B1" w:rsidP="00E149F4">
            <w:pPr>
              <w:pStyle w:val="CETEquation"/>
              <w:rPr>
                <w:rFonts w:cs="Arial"/>
                <w:iCs/>
                <w:color w:val="000000"/>
                <w:spacing w:val="-3"/>
                <w:lang w:val="es-CO"/>
              </w:rPr>
            </w:pPr>
            <w:bookmarkStart w:id="2" w:name="_Hlk92445235"/>
            <m:oMathPara>
              <m:oMathParaPr>
                <m:jc m:val="left"/>
              </m:oMathParaPr>
              <m:oMath>
                <m:r>
                  <m:rPr>
                    <m:sty m:val="bi"/>
                  </m:rPr>
                  <w:rPr>
                    <w:rFonts w:ascii="Cambria Math" w:hAnsi="Cambria Math"/>
                    <w:lang w:val="es-CO"/>
                  </w:rPr>
                  <m:t>PAT</m:t>
                </m:r>
                <m:r>
                  <m:rPr>
                    <m:sty m:val="b"/>
                  </m:rPr>
                  <w:rPr>
                    <w:rFonts w:ascii="Cambria Math" w:hAnsi="Cambria Math"/>
                  </w:rPr>
                  <m:t>=</m:t>
                </m:r>
                <m:r>
                  <m:rPr>
                    <m:sty m:val="bi"/>
                  </m:rPr>
                  <w:rPr>
                    <w:rFonts w:ascii="Cambria Math" w:hAnsi="Cambria Math"/>
                    <w:lang w:val="es-CO"/>
                  </w:rPr>
                  <m:t>DGP</m:t>
                </m:r>
                <m:d>
                  <m:dPr>
                    <m:ctrlPr>
                      <w:rPr>
                        <w:rFonts w:ascii="Cambria Math" w:hAnsi="Cambria Math"/>
                        <w:lang w:val="es-CO"/>
                      </w:rPr>
                    </m:ctrlPr>
                  </m:dPr>
                  <m:e>
                    <m:r>
                      <m:rPr>
                        <m:sty m:val="b"/>
                      </m:rPr>
                      <w:rPr>
                        <w:rFonts w:ascii="Cambria Math" w:hAnsi="Cambria Math"/>
                      </w:rPr>
                      <m:t>1-</m:t>
                    </m:r>
                    <m:r>
                      <m:rPr>
                        <m:sty m:val="bi"/>
                      </m:rPr>
                      <w:rPr>
                        <w:rFonts w:ascii="Cambria Math" w:hAnsi="Cambria Math"/>
                        <w:lang w:val="es-CO"/>
                      </w:rPr>
                      <m:t>itr</m:t>
                    </m:r>
                  </m:e>
                </m:d>
              </m:oMath>
            </m:oMathPara>
          </w:p>
        </w:tc>
        <w:tc>
          <w:tcPr>
            <w:tcW w:w="964" w:type="pct"/>
            <w:tcBorders>
              <w:top w:val="none" w:sz="0" w:space="0" w:color="auto"/>
              <w:left w:val="none" w:sz="0" w:space="0" w:color="auto"/>
              <w:bottom w:val="none" w:sz="0" w:space="0" w:color="auto"/>
            </w:tcBorders>
            <w:shd w:val="clear" w:color="auto" w:fill="auto"/>
          </w:tcPr>
          <w:p w14:paraId="45B37773" w14:textId="77777777" w:rsidR="00B51EB7" w:rsidRPr="005B165B" w:rsidRDefault="005C79B1" w:rsidP="00E149F4">
            <w:pPr>
              <w:pStyle w:val="CETEquation"/>
              <w:cnfStyle w:val="100000000000" w:firstRow="1" w:lastRow="0" w:firstColumn="0" w:lastColumn="0" w:oddVBand="0" w:evenVBand="0" w:oddHBand="0" w:evenHBand="0" w:firstRowFirstColumn="0" w:firstRowLastColumn="0" w:lastRowFirstColumn="0" w:lastRowLastColumn="0"/>
              <w:rPr>
                <w:rFonts w:cs="Arial"/>
                <w:lang w:val="en-US"/>
              </w:rPr>
            </w:pPr>
            <w:r>
              <w:rPr>
                <w:rFonts w:cs="Arial"/>
                <w:b w:val="0"/>
                <w:bCs w:val="0"/>
                <w:lang w:val="en-US"/>
              </w:rPr>
              <w:t>(6)</w:t>
            </w:r>
          </w:p>
        </w:tc>
      </w:tr>
      <w:tr w:rsidR="00E76E8D" w14:paraId="3E5AE0D4" w14:textId="77777777" w:rsidTr="00E76E8D">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4036" w:type="pct"/>
            <w:shd w:val="clear" w:color="auto" w:fill="auto"/>
          </w:tcPr>
          <w:p w14:paraId="6FD67957" w14:textId="77777777" w:rsidR="00B51EB7" w:rsidRPr="00335016" w:rsidRDefault="005C79B1" w:rsidP="00E149F4">
            <w:pPr>
              <w:pStyle w:val="CETEquation"/>
              <w:rPr>
                <w:rFonts w:cs="Arial"/>
                <w:lang w:val="en-US"/>
              </w:rPr>
            </w:pPr>
            <m:oMathPara>
              <m:oMathParaPr>
                <m:jc m:val="left"/>
              </m:oMathParaPr>
              <m:oMath>
                <m:r>
                  <m:rPr>
                    <m:sty m:val="bi"/>
                  </m:rPr>
                  <w:rPr>
                    <w:rFonts w:ascii="Cambria Math" w:hAnsi="Cambria Math"/>
                    <w:lang w:val="es-CO"/>
                  </w:rPr>
                  <m:t>DGP</m:t>
                </m:r>
                <m:r>
                  <m:rPr>
                    <m:sty m:val="b"/>
                  </m:rPr>
                  <w:rPr>
                    <w:rFonts w:ascii="Cambria Math" w:hAnsi="Cambria Math"/>
                    <w:lang w:val="es-CO"/>
                  </w:rPr>
                  <m:t>=</m:t>
                </m:r>
                <m:nary>
                  <m:naryPr>
                    <m:chr m:val="∑"/>
                    <m:limLoc m:val="undOvr"/>
                    <m:supHide m:val="1"/>
                    <m:ctrlPr>
                      <w:rPr>
                        <w:rFonts w:ascii="Cambria Math" w:hAnsi="Cambria Math"/>
                        <w:lang w:val="es-CO"/>
                      </w:rPr>
                    </m:ctrlPr>
                  </m:naryPr>
                  <m:sub>
                    <m:r>
                      <m:rPr>
                        <m:sty m:val="bi"/>
                      </m:rPr>
                      <w:rPr>
                        <w:rFonts w:ascii="Cambria Math" w:hAnsi="Cambria Math"/>
                        <w:lang w:val="es-CO"/>
                      </w:rPr>
                      <m:t>i</m:t>
                    </m:r>
                  </m:sub>
                  <m:sup/>
                  <m:e>
                    <m:sSub>
                      <m:sSubPr>
                        <m:ctrlPr>
                          <w:rPr>
                            <w:rFonts w:ascii="Cambria Math" w:hAnsi="Cambria Math"/>
                            <w:lang w:val="es-CO"/>
                          </w:rPr>
                        </m:ctrlPr>
                      </m:sSubPr>
                      <m:e>
                        <m:r>
                          <m:rPr>
                            <m:sty m:val="bi"/>
                          </m:rPr>
                          <w:rPr>
                            <w:rFonts w:ascii="Cambria Math" w:hAnsi="Cambria Math"/>
                            <w:lang w:val="es-CO"/>
                          </w:rPr>
                          <m:t>m</m:t>
                        </m:r>
                      </m:e>
                      <m:sub>
                        <m:r>
                          <m:rPr>
                            <m:sty m:val="bi"/>
                          </m:rPr>
                          <w:rPr>
                            <w:rFonts w:ascii="Cambria Math" w:hAnsi="Cambria Math"/>
                            <w:lang w:val="es-CO"/>
                          </w:rPr>
                          <m:t>i</m:t>
                        </m:r>
                      </m:sub>
                    </m:sSub>
                    <m:sSubSup>
                      <m:sSubSupPr>
                        <m:ctrlPr>
                          <w:rPr>
                            <w:rFonts w:ascii="Cambria Math" w:hAnsi="Cambria Math"/>
                            <w:lang w:val="es-CO"/>
                          </w:rPr>
                        </m:ctrlPr>
                      </m:sSubSupPr>
                      <m:e>
                        <m:r>
                          <m:rPr>
                            <m:sty m:val="bi"/>
                          </m:rPr>
                          <w:rPr>
                            <w:rFonts w:ascii="Cambria Math" w:hAnsi="Cambria Math"/>
                            <w:lang w:val="es-CO"/>
                          </w:rPr>
                          <m:t>C</m:t>
                        </m:r>
                      </m:e>
                      <m:sub>
                        <m:r>
                          <m:rPr>
                            <m:sty m:val="bi"/>
                          </m:rPr>
                          <w:rPr>
                            <w:rFonts w:ascii="Cambria Math" w:hAnsi="Cambria Math"/>
                            <w:lang w:val="es-CO"/>
                          </w:rPr>
                          <m:t>i</m:t>
                        </m:r>
                      </m:sub>
                      <m:sup>
                        <m:r>
                          <m:rPr>
                            <m:sty m:val="bi"/>
                          </m:rPr>
                          <w:rPr>
                            <w:rFonts w:ascii="Cambria Math" w:hAnsi="Cambria Math"/>
                            <w:lang w:val="es-CO"/>
                          </w:rPr>
                          <m:t>v</m:t>
                        </m:r>
                      </m:sup>
                    </m:sSubSup>
                    <m:r>
                      <m:rPr>
                        <m:sty m:val="b"/>
                      </m:rPr>
                      <w:rPr>
                        <w:rFonts w:ascii="Cambria Math" w:hAnsi="Cambria Math"/>
                        <w:lang w:val="es-CO"/>
                      </w:rPr>
                      <m:t>-</m:t>
                    </m:r>
                    <m:r>
                      <m:rPr>
                        <m:sty m:val="bi"/>
                      </m:rPr>
                      <w:rPr>
                        <w:rFonts w:ascii="Cambria Math" w:hAnsi="Cambria Math"/>
                        <w:lang w:val="es-CO"/>
                      </w:rPr>
                      <m:t>TAC</m:t>
                    </m:r>
                    <m:r>
                      <m:rPr>
                        <m:sty m:val="b"/>
                      </m:rPr>
                      <w:rPr>
                        <w:rFonts w:ascii="Cambria Math" w:hAnsi="Cambria Math"/>
                        <w:lang w:val="es-CO"/>
                      </w:rPr>
                      <m:t xml:space="preserve"> </m:t>
                    </m:r>
                  </m:e>
                </m:nary>
              </m:oMath>
            </m:oMathPara>
          </w:p>
        </w:tc>
        <w:tc>
          <w:tcPr>
            <w:tcW w:w="964" w:type="pct"/>
            <w:shd w:val="clear" w:color="auto" w:fill="auto"/>
          </w:tcPr>
          <w:p w14:paraId="11F9FC90" w14:textId="77777777" w:rsidR="00B51EB7" w:rsidRPr="005B165B" w:rsidRDefault="005C79B1" w:rsidP="00E149F4">
            <w:pPr>
              <w:pStyle w:val="CETEquation"/>
              <w:cnfStyle w:val="000000100000" w:firstRow="0" w:lastRow="0" w:firstColumn="0" w:lastColumn="0" w:oddVBand="0" w:evenVBand="0" w:oddHBand="1" w:evenHBand="0" w:firstRowFirstColumn="0" w:firstRowLastColumn="0" w:lastRowFirstColumn="0" w:lastRowLastColumn="0"/>
              <w:rPr>
                <w:rFonts w:cs="Arial"/>
                <w:lang w:val="en-US"/>
              </w:rPr>
            </w:pPr>
            <w:r>
              <w:rPr>
                <w:rFonts w:cs="Arial"/>
                <w:lang w:val="en-US"/>
              </w:rPr>
              <w:t>(7)</w:t>
            </w:r>
          </w:p>
        </w:tc>
      </w:tr>
      <w:tr w:rsidR="00E76E8D" w14:paraId="48C5B1D4" w14:textId="77777777" w:rsidTr="00E76E8D">
        <w:trPr>
          <w:trHeight w:val="671"/>
        </w:trPr>
        <w:tc>
          <w:tcPr>
            <w:cnfStyle w:val="001000000000" w:firstRow="0" w:lastRow="0" w:firstColumn="1" w:lastColumn="0" w:oddVBand="0" w:evenVBand="0" w:oddHBand="0" w:evenHBand="0" w:firstRowFirstColumn="0" w:firstRowLastColumn="0" w:lastRowFirstColumn="0" w:lastRowLastColumn="0"/>
            <w:tcW w:w="4036" w:type="pct"/>
            <w:shd w:val="clear" w:color="auto" w:fill="auto"/>
          </w:tcPr>
          <w:p w14:paraId="3F6FE78D" w14:textId="77777777" w:rsidR="00B51EB7" w:rsidRPr="00334C0C" w:rsidRDefault="005C79B1" w:rsidP="00E149F4">
            <w:pPr>
              <w:pStyle w:val="CETEquation"/>
              <w:rPr>
                <w:rFonts w:cs="Arial"/>
              </w:rPr>
            </w:pPr>
            <m:oMathPara>
              <m:oMathParaPr>
                <m:jc m:val="left"/>
              </m:oMathParaPr>
              <m:oMath>
                <m:r>
                  <m:rPr>
                    <m:sty m:val="bi"/>
                  </m:rPr>
                  <w:rPr>
                    <w:rFonts w:ascii="Cambria Math" w:hAnsi="Cambria Math"/>
                    <w:lang w:val="es-CO"/>
                  </w:rPr>
                  <m:t>CCF</m:t>
                </m:r>
                <m:r>
                  <m:rPr>
                    <m:sty m:val="b"/>
                  </m:rPr>
                  <w:rPr>
                    <w:rFonts w:ascii="Cambria Math" w:hAnsi="Cambria Math"/>
                    <w:lang w:val="es-CO"/>
                  </w:rPr>
                  <m:t>=</m:t>
                </m:r>
                <m:f>
                  <m:fPr>
                    <m:ctrlPr>
                      <w:rPr>
                        <w:rFonts w:ascii="Cambria Math" w:hAnsi="Cambria Math"/>
                        <w:lang w:val="es-CO"/>
                      </w:rPr>
                    </m:ctrlPr>
                  </m:fPr>
                  <m:num>
                    <m:nary>
                      <m:naryPr>
                        <m:chr m:val="∑"/>
                        <m:limLoc m:val="undOvr"/>
                        <m:supHide m:val="1"/>
                        <m:ctrlPr>
                          <w:rPr>
                            <w:rFonts w:ascii="Cambria Math" w:hAnsi="Cambria Math"/>
                            <w:lang w:val="es-CO"/>
                          </w:rPr>
                        </m:ctrlPr>
                      </m:naryPr>
                      <m:sub>
                        <m:r>
                          <m:rPr>
                            <m:sty m:val="bi"/>
                          </m:rPr>
                          <w:rPr>
                            <w:rFonts w:ascii="Cambria Math" w:hAnsi="Cambria Math"/>
                            <w:lang w:val="es-CO"/>
                          </w:rPr>
                          <m:t>i</m:t>
                        </m:r>
                      </m:sub>
                      <m:sup/>
                      <m:e>
                        <m:sSub>
                          <m:sSubPr>
                            <m:ctrlPr>
                              <w:rPr>
                                <w:rFonts w:ascii="Cambria Math" w:hAnsi="Cambria Math"/>
                                <w:lang w:val="es-CO"/>
                              </w:rPr>
                            </m:ctrlPr>
                          </m:sSubPr>
                          <m:e>
                            <m:r>
                              <m:rPr>
                                <m:sty m:val="bi"/>
                              </m:rPr>
                              <w:rPr>
                                <w:rFonts w:ascii="Cambria Math" w:hAnsi="Cambria Math"/>
                                <w:lang w:val="es-CO"/>
                              </w:rPr>
                              <m:t>m</m:t>
                            </m:r>
                          </m:e>
                          <m:sub>
                            <m:r>
                              <m:rPr>
                                <m:sty m:val="bi"/>
                              </m:rPr>
                              <w:rPr>
                                <w:rFonts w:ascii="Cambria Math" w:hAnsi="Cambria Math"/>
                                <w:lang w:val="es-CO"/>
                              </w:rPr>
                              <m:t>i</m:t>
                            </m:r>
                          </m:sub>
                        </m:sSub>
                        <m:sSubSup>
                          <m:sSubSupPr>
                            <m:ctrlPr>
                              <w:rPr>
                                <w:rFonts w:ascii="Cambria Math" w:hAnsi="Cambria Math"/>
                                <w:lang w:val="es-CO"/>
                              </w:rPr>
                            </m:ctrlPr>
                          </m:sSubSupPr>
                          <m:e>
                            <m:r>
                              <m:rPr>
                                <m:sty m:val="bi"/>
                              </m:rPr>
                              <w:rPr>
                                <w:rFonts w:ascii="Cambria Math" w:hAnsi="Cambria Math"/>
                                <w:lang w:val="es-CO"/>
                              </w:rPr>
                              <m:t>C</m:t>
                            </m:r>
                          </m:e>
                          <m:sub>
                            <m:r>
                              <m:rPr>
                                <m:sty m:val="bi"/>
                              </m:rPr>
                              <w:rPr>
                                <w:rFonts w:ascii="Cambria Math" w:hAnsi="Cambria Math"/>
                                <w:lang w:val="es-CO"/>
                              </w:rPr>
                              <m:t>i</m:t>
                            </m:r>
                          </m:sub>
                          <m:sup>
                            <m:r>
                              <m:rPr>
                                <m:sty m:val="bi"/>
                              </m:rPr>
                              <w:rPr>
                                <w:rFonts w:ascii="Cambria Math" w:hAnsi="Cambria Math"/>
                                <w:lang w:val="es-CO"/>
                              </w:rPr>
                              <m:t>v</m:t>
                            </m:r>
                          </m:sup>
                        </m:sSubSup>
                      </m:e>
                    </m:nary>
                    <m:r>
                      <m:rPr>
                        <m:sty m:val="b"/>
                      </m:rPr>
                      <w:rPr>
                        <w:rFonts w:ascii="Cambria Math" w:hAnsi="Cambria Math"/>
                        <w:lang w:val="es-CO"/>
                      </w:rPr>
                      <m:t>-</m:t>
                    </m:r>
                    <m:r>
                      <m:rPr>
                        <m:sty m:val="bi"/>
                      </m:rPr>
                      <w:rPr>
                        <w:rFonts w:ascii="Cambria Math" w:hAnsi="Cambria Math"/>
                        <w:lang w:val="es-CO"/>
                      </w:rPr>
                      <m:t>AOC</m:t>
                    </m:r>
                  </m:num>
                  <m:den>
                    <m:r>
                      <m:rPr>
                        <m:sty m:val="bi"/>
                      </m:rPr>
                      <w:rPr>
                        <w:rFonts w:ascii="Cambria Math" w:hAnsi="Cambria Math"/>
                        <w:lang w:val="es-CO"/>
                      </w:rPr>
                      <m:t>TCI</m:t>
                    </m:r>
                  </m:den>
                </m:f>
                <m:r>
                  <m:rPr>
                    <m:sty m:val="b"/>
                  </m:rPr>
                  <w:rPr>
                    <w:rFonts w:ascii="Cambria Math" w:hAnsi="Cambria Math"/>
                    <w:lang w:val="es-CO"/>
                  </w:rPr>
                  <m:t xml:space="preserve">    </m:t>
                </m:r>
              </m:oMath>
            </m:oMathPara>
          </w:p>
        </w:tc>
        <w:tc>
          <w:tcPr>
            <w:tcW w:w="964" w:type="pct"/>
            <w:shd w:val="clear" w:color="auto" w:fill="auto"/>
          </w:tcPr>
          <w:p w14:paraId="4312F173" w14:textId="77777777" w:rsidR="00B51EB7" w:rsidRPr="00235724" w:rsidRDefault="005C79B1" w:rsidP="00E149F4">
            <w:pPr>
              <w:pStyle w:val="CETEquation"/>
              <w:cnfStyle w:val="000000000000" w:firstRow="0" w:lastRow="0" w:firstColumn="0" w:lastColumn="0" w:oddVBand="0" w:evenVBand="0" w:oddHBand="0" w:evenHBand="0" w:firstRowFirstColumn="0" w:firstRowLastColumn="0" w:lastRowFirstColumn="0" w:lastRowLastColumn="0"/>
              <w:rPr>
                <w:rFonts w:cs="Arial"/>
              </w:rPr>
            </w:pPr>
            <w:r w:rsidRPr="00235724">
              <w:rPr>
                <w:rFonts w:cs="Arial"/>
              </w:rPr>
              <w:t>(</w:t>
            </w:r>
            <w:r>
              <w:rPr>
                <w:rFonts w:cs="Arial"/>
              </w:rPr>
              <w:t>8</w:t>
            </w:r>
            <w:r w:rsidRPr="00235724">
              <w:rPr>
                <w:rFonts w:cs="Arial"/>
              </w:rPr>
              <w:t>)</w:t>
            </w:r>
          </w:p>
        </w:tc>
      </w:tr>
      <w:tr w:rsidR="00E76E8D" w14:paraId="36D271D9" w14:textId="77777777" w:rsidTr="00E76E8D">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4036" w:type="pct"/>
            <w:shd w:val="clear" w:color="auto" w:fill="auto"/>
          </w:tcPr>
          <w:p w14:paraId="6343DED1" w14:textId="77777777" w:rsidR="00B51EB7" w:rsidRPr="00334C0C" w:rsidRDefault="005C79B1" w:rsidP="00E149F4">
            <w:pPr>
              <w:pStyle w:val="CETEquation"/>
              <w:rPr>
                <w:rFonts w:eastAsia="Calibri" w:cs="Arial"/>
                <w:color w:val="000000"/>
                <w:spacing w:val="-3"/>
                <w:lang w:val="es-MX"/>
              </w:rPr>
            </w:pPr>
            <m:oMathPara>
              <m:oMathParaPr>
                <m:jc m:val="left"/>
              </m:oMathParaPr>
              <m:oMath>
                <m:r>
                  <m:rPr>
                    <m:sty m:val="bi"/>
                  </m:rPr>
                  <w:rPr>
                    <w:rFonts w:ascii="Cambria Math" w:hAnsi="Cambria Math"/>
                    <w:lang w:val="es-CO"/>
                  </w:rPr>
                  <m:t>PBP</m:t>
                </m:r>
                <m:r>
                  <m:rPr>
                    <m:sty m:val="b"/>
                  </m:rPr>
                  <w:rPr>
                    <w:rFonts w:ascii="Cambria Math" w:hAnsi="Cambria Math"/>
                    <w:lang w:val="es-CO"/>
                  </w:rPr>
                  <m:t>=</m:t>
                </m:r>
                <m:f>
                  <m:fPr>
                    <m:ctrlPr>
                      <w:rPr>
                        <w:rFonts w:ascii="Cambria Math" w:hAnsi="Cambria Math"/>
                        <w:lang w:val="es-CO"/>
                      </w:rPr>
                    </m:ctrlPr>
                  </m:fPr>
                  <m:num>
                    <m:r>
                      <m:rPr>
                        <m:sty m:val="bi"/>
                      </m:rPr>
                      <w:rPr>
                        <w:rFonts w:ascii="Cambria Math" w:hAnsi="Cambria Math"/>
                        <w:lang w:val="es-CO"/>
                      </w:rPr>
                      <m:t>FCI</m:t>
                    </m:r>
                  </m:num>
                  <m:den>
                    <m:r>
                      <m:rPr>
                        <m:sty m:val="bi"/>
                      </m:rPr>
                      <w:rPr>
                        <w:rFonts w:ascii="Cambria Math" w:hAnsi="Cambria Math"/>
                        <w:lang w:val="es-CO"/>
                      </w:rPr>
                      <m:t>PAT</m:t>
                    </m:r>
                  </m:den>
                </m:f>
              </m:oMath>
            </m:oMathPara>
          </w:p>
        </w:tc>
        <w:tc>
          <w:tcPr>
            <w:tcW w:w="964" w:type="pct"/>
            <w:shd w:val="clear" w:color="auto" w:fill="auto"/>
          </w:tcPr>
          <w:p w14:paraId="3DC7D8BC" w14:textId="77777777" w:rsidR="00B51EB7" w:rsidRPr="00235724" w:rsidRDefault="005C79B1" w:rsidP="00E149F4">
            <w:pPr>
              <w:pStyle w:val="CETEquation"/>
              <w:cnfStyle w:val="000000100000" w:firstRow="0" w:lastRow="0" w:firstColumn="0" w:lastColumn="0" w:oddVBand="0" w:evenVBand="0" w:oddHBand="1" w:evenHBand="0" w:firstRowFirstColumn="0" w:firstRowLastColumn="0" w:lastRowFirstColumn="0" w:lastRowLastColumn="0"/>
              <w:rPr>
                <w:rFonts w:eastAsia="Calibri" w:cs="Arial"/>
                <w:color w:val="000000"/>
                <w:spacing w:val="-3"/>
                <w:lang w:val="es-MX"/>
              </w:rPr>
            </w:pPr>
            <w:r w:rsidRPr="00235724">
              <w:rPr>
                <w:rFonts w:eastAsia="Calibri" w:cs="Arial"/>
                <w:color w:val="000000"/>
                <w:spacing w:val="-3"/>
                <w:lang w:val="es-MX"/>
              </w:rPr>
              <w:t>(</w:t>
            </w:r>
            <w:r>
              <w:rPr>
                <w:rFonts w:eastAsia="Calibri" w:cs="Arial"/>
                <w:color w:val="000000"/>
                <w:spacing w:val="-3"/>
                <w:lang w:val="es-MX"/>
              </w:rPr>
              <w:t>9</w:t>
            </w:r>
            <w:r w:rsidRPr="00235724">
              <w:rPr>
                <w:rFonts w:eastAsia="Calibri" w:cs="Arial"/>
                <w:color w:val="000000"/>
                <w:spacing w:val="-3"/>
                <w:lang w:val="es-MX"/>
              </w:rPr>
              <w:t>)</w:t>
            </w:r>
          </w:p>
        </w:tc>
      </w:tr>
      <w:tr w:rsidR="00E76E8D" w14:paraId="58CAA907" w14:textId="77777777" w:rsidTr="00E76E8D">
        <w:trPr>
          <w:trHeight w:val="650"/>
        </w:trPr>
        <w:tc>
          <w:tcPr>
            <w:cnfStyle w:val="001000000000" w:firstRow="0" w:lastRow="0" w:firstColumn="1" w:lastColumn="0" w:oddVBand="0" w:evenVBand="0" w:oddHBand="0" w:evenHBand="0" w:firstRowFirstColumn="0" w:firstRowLastColumn="0" w:lastRowFirstColumn="0" w:lastRowLastColumn="0"/>
            <w:tcW w:w="4036" w:type="pct"/>
            <w:shd w:val="clear" w:color="auto" w:fill="auto"/>
          </w:tcPr>
          <w:p w14:paraId="42666B99" w14:textId="77777777" w:rsidR="00B51EB7" w:rsidRPr="005A44D6" w:rsidRDefault="005C79B1" w:rsidP="00E149F4">
            <w:pPr>
              <w:pStyle w:val="CETEquation"/>
              <w:rPr>
                <w:lang w:val="es-CO"/>
              </w:rPr>
            </w:pPr>
            <m:oMathPara>
              <m:oMathParaPr>
                <m:jc m:val="left"/>
              </m:oMathParaPr>
              <m:oMath>
                <m:r>
                  <m:rPr>
                    <m:sty m:val="b"/>
                  </m:rPr>
                  <w:rPr>
                    <w:rFonts w:ascii="Cambria Math" w:hAnsi="Cambria Math"/>
                    <w:lang w:val="es-CO"/>
                  </w:rPr>
                  <m:t>%</m:t>
                </m:r>
                <m:r>
                  <m:rPr>
                    <m:sty m:val="bi"/>
                  </m:rPr>
                  <w:rPr>
                    <w:rFonts w:ascii="Cambria Math" w:hAnsi="Cambria Math"/>
                    <w:lang w:val="es-CO"/>
                  </w:rPr>
                  <m:t>ROI</m:t>
                </m:r>
                <m:r>
                  <m:rPr>
                    <m:sty m:val="b"/>
                  </m:rPr>
                  <w:rPr>
                    <w:rFonts w:ascii="Cambria Math" w:hAnsi="Cambria Math"/>
                    <w:lang w:val="es-CO"/>
                  </w:rPr>
                  <m:t>=</m:t>
                </m:r>
                <m:f>
                  <m:fPr>
                    <m:ctrlPr>
                      <w:rPr>
                        <w:rFonts w:ascii="Cambria Math" w:hAnsi="Cambria Math"/>
                        <w:lang w:val="es-CO"/>
                      </w:rPr>
                    </m:ctrlPr>
                  </m:fPr>
                  <m:num>
                    <m:r>
                      <m:rPr>
                        <m:sty m:val="bi"/>
                      </m:rPr>
                      <w:rPr>
                        <w:rFonts w:ascii="Cambria Math" w:hAnsi="Cambria Math"/>
                        <w:lang w:val="es-CO"/>
                      </w:rPr>
                      <m:t>PAT</m:t>
                    </m:r>
                  </m:num>
                  <m:den>
                    <m:r>
                      <m:rPr>
                        <m:sty m:val="bi"/>
                      </m:rPr>
                      <w:rPr>
                        <w:rFonts w:ascii="Cambria Math" w:hAnsi="Cambria Math"/>
                        <w:lang w:val="es-CO"/>
                      </w:rPr>
                      <m:t>TCI</m:t>
                    </m:r>
                  </m:den>
                </m:f>
                <m:r>
                  <m:rPr>
                    <m:sty m:val="bi"/>
                  </m:rPr>
                  <w:rPr>
                    <w:rFonts w:ascii="Cambria Math" w:hAnsi="Cambria Math"/>
                    <w:lang w:val="es-CO"/>
                  </w:rPr>
                  <m:t>x</m:t>
                </m:r>
                <m:r>
                  <m:rPr>
                    <m:sty m:val="b"/>
                  </m:rPr>
                  <w:rPr>
                    <w:rFonts w:ascii="Cambria Math" w:hAnsi="Cambria Math"/>
                    <w:lang w:val="es-CO"/>
                  </w:rPr>
                  <m:t>100%</m:t>
                </m:r>
              </m:oMath>
            </m:oMathPara>
          </w:p>
        </w:tc>
        <w:tc>
          <w:tcPr>
            <w:tcW w:w="964" w:type="pct"/>
            <w:shd w:val="clear" w:color="auto" w:fill="auto"/>
          </w:tcPr>
          <w:p w14:paraId="6E3A9748" w14:textId="77777777" w:rsidR="00B51EB7" w:rsidRPr="005A44D6" w:rsidRDefault="005C79B1" w:rsidP="00E149F4">
            <w:pPr>
              <w:pStyle w:val="CETEquation"/>
              <w:cnfStyle w:val="000000000000" w:firstRow="0" w:lastRow="0" w:firstColumn="0" w:lastColumn="0" w:oddVBand="0" w:evenVBand="0" w:oddHBand="0" w:evenHBand="0" w:firstRowFirstColumn="0" w:firstRowLastColumn="0" w:lastRowFirstColumn="0" w:lastRowLastColumn="0"/>
              <w:rPr>
                <w:rFonts w:eastAsia="Calibri" w:cs="Arial"/>
                <w:color w:val="000000"/>
                <w:spacing w:val="-3"/>
                <w:lang w:val="es-MX"/>
              </w:rPr>
            </w:pPr>
            <w:r w:rsidRPr="005A44D6">
              <w:rPr>
                <w:rFonts w:eastAsia="Calibri" w:cs="Arial"/>
                <w:color w:val="000000"/>
                <w:spacing w:val="-3"/>
                <w:lang w:val="es-MX"/>
              </w:rPr>
              <w:t>(10)</w:t>
            </w:r>
          </w:p>
        </w:tc>
      </w:tr>
      <w:tr w:rsidR="00E76E8D" w14:paraId="1FC1B07C" w14:textId="77777777" w:rsidTr="00E76E8D">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4036" w:type="pct"/>
            <w:shd w:val="clear" w:color="auto" w:fill="auto"/>
          </w:tcPr>
          <w:p w14:paraId="71C365C1" w14:textId="77777777" w:rsidR="00B51EB7" w:rsidRPr="005A44D6" w:rsidRDefault="005C79B1" w:rsidP="00E149F4">
            <w:pPr>
              <w:pStyle w:val="CETEquation"/>
              <w:rPr>
                <w:lang w:val="es-CO"/>
              </w:rPr>
            </w:pPr>
            <m:oMathPara>
              <m:oMathParaPr>
                <m:jc m:val="left"/>
              </m:oMathParaPr>
              <m:oMath>
                <m:r>
                  <m:rPr>
                    <m:sty m:val="bi"/>
                  </m:rPr>
                  <w:rPr>
                    <w:rFonts w:ascii="Cambria Math" w:hAnsi="Cambria Math"/>
                    <w:lang w:val="es-CO"/>
                  </w:rPr>
                  <m:t>NPV</m:t>
                </m:r>
                <m:r>
                  <m:rPr>
                    <m:sty m:val="b"/>
                  </m:rPr>
                  <w:rPr>
                    <w:rFonts w:ascii="Cambria Math" w:hAnsi="Cambria Math"/>
                    <w:lang w:val="es-CO"/>
                  </w:rPr>
                  <m:t>=</m:t>
                </m:r>
                <m:nary>
                  <m:naryPr>
                    <m:chr m:val="∑"/>
                    <m:limLoc m:val="undOvr"/>
                    <m:supHide m:val="1"/>
                    <m:ctrlPr>
                      <w:rPr>
                        <w:rFonts w:ascii="Cambria Math" w:hAnsi="Cambria Math"/>
                        <w:lang w:val="es-CO"/>
                      </w:rPr>
                    </m:ctrlPr>
                  </m:naryPr>
                  <m:sub>
                    <m:r>
                      <m:rPr>
                        <m:sty m:val="bi"/>
                      </m:rPr>
                      <w:rPr>
                        <w:rFonts w:ascii="Cambria Math" w:hAnsi="Cambria Math"/>
                        <w:lang w:val="es-CO"/>
                      </w:rPr>
                      <m:t>n</m:t>
                    </m:r>
                  </m:sub>
                  <m:sup/>
                  <m:e>
                    <m:sSup>
                      <m:sSupPr>
                        <m:ctrlPr>
                          <w:rPr>
                            <w:rFonts w:ascii="Cambria Math" w:hAnsi="Cambria Math"/>
                            <w:lang w:val="es-CO"/>
                          </w:rPr>
                        </m:ctrlPr>
                      </m:sSupPr>
                      <m:e>
                        <m:sSub>
                          <m:sSubPr>
                            <m:ctrlPr>
                              <w:rPr>
                                <w:rFonts w:ascii="Cambria Math" w:hAnsi="Cambria Math"/>
                                <w:lang w:val="es-CO"/>
                              </w:rPr>
                            </m:ctrlPr>
                          </m:sSubPr>
                          <m:e>
                            <m:r>
                              <m:rPr>
                                <m:sty m:val="bi"/>
                              </m:rPr>
                              <w:rPr>
                                <w:rFonts w:ascii="Cambria Math" w:hAnsi="Cambria Math"/>
                                <w:lang w:val="es-CO"/>
                              </w:rPr>
                              <m:t>AFC</m:t>
                            </m:r>
                          </m:e>
                          <m:sub>
                            <m:r>
                              <m:rPr>
                                <m:sty m:val="bi"/>
                              </m:rPr>
                              <w:rPr>
                                <w:rFonts w:ascii="Cambria Math" w:hAnsi="Cambria Math"/>
                                <w:lang w:val="es-CO"/>
                              </w:rPr>
                              <m:t>n</m:t>
                            </m:r>
                          </m:sub>
                        </m:sSub>
                        <m:r>
                          <m:rPr>
                            <m:sty m:val="b"/>
                          </m:rPr>
                          <w:rPr>
                            <w:rFonts w:ascii="Cambria Math" w:hAnsi="Cambria Math"/>
                            <w:lang w:val="es-CO"/>
                          </w:rPr>
                          <m:t>(1+</m:t>
                        </m:r>
                        <m:r>
                          <m:rPr>
                            <m:sty m:val="bi"/>
                          </m:rPr>
                          <w:rPr>
                            <w:rFonts w:ascii="Cambria Math" w:hAnsi="Cambria Math"/>
                            <w:lang w:val="es-CO"/>
                          </w:rPr>
                          <m:t>i</m:t>
                        </m:r>
                        <m:r>
                          <m:rPr>
                            <m:sty m:val="b"/>
                          </m:rPr>
                          <w:rPr>
                            <w:rFonts w:ascii="Cambria Math" w:hAnsi="Cambria Math"/>
                            <w:lang w:val="es-CO"/>
                          </w:rPr>
                          <m:t>)</m:t>
                        </m:r>
                      </m:e>
                      <m:sup>
                        <m:r>
                          <m:rPr>
                            <m:sty m:val="b"/>
                          </m:rPr>
                          <w:rPr>
                            <w:rFonts w:ascii="Cambria Math" w:hAnsi="Cambria Math"/>
                            <w:lang w:val="es-CO"/>
                          </w:rPr>
                          <m:t>-</m:t>
                        </m:r>
                        <m:r>
                          <m:rPr>
                            <m:sty m:val="bi"/>
                          </m:rPr>
                          <w:rPr>
                            <w:rFonts w:ascii="Cambria Math" w:hAnsi="Cambria Math"/>
                            <w:lang w:val="es-CO"/>
                          </w:rPr>
                          <m:t>n</m:t>
                        </m:r>
                      </m:sup>
                    </m:sSup>
                    <m:r>
                      <m:rPr>
                        <m:sty m:val="b"/>
                      </m:rPr>
                      <w:rPr>
                        <w:rFonts w:ascii="Cambria Math" w:hAnsi="Cambria Math"/>
                        <w:lang w:val="es-CO"/>
                      </w:rPr>
                      <m:t xml:space="preserve">                               </m:t>
                    </m:r>
                  </m:e>
                </m:nary>
              </m:oMath>
            </m:oMathPara>
          </w:p>
        </w:tc>
        <w:tc>
          <w:tcPr>
            <w:tcW w:w="964" w:type="pct"/>
            <w:shd w:val="clear" w:color="auto" w:fill="auto"/>
          </w:tcPr>
          <w:p w14:paraId="702392C0" w14:textId="77777777" w:rsidR="00B51EB7" w:rsidRPr="005A44D6" w:rsidRDefault="005C79B1" w:rsidP="00E149F4">
            <w:pPr>
              <w:pStyle w:val="CETEquation"/>
              <w:cnfStyle w:val="000000100000" w:firstRow="0" w:lastRow="0" w:firstColumn="0" w:lastColumn="0" w:oddVBand="0" w:evenVBand="0" w:oddHBand="1" w:evenHBand="0" w:firstRowFirstColumn="0" w:firstRowLastColumn="0" w:lastRowFirstColumn="0" w:lastRowLastColumn="0"/>
              <w:rPr>
                <w:rFonts w:eastAsia="Calibri" w:cs="Arial"/>
                <w:color w:val="000000"/>
                <w:spacing w:val="-3"/>
                <w:lang w:val="es-MX"/>
              </w:rPr>
            </w:pPr>
            <w:r w:rsidRPr="005A44D6">
              <w:rPr>
                <w:rFonts w:eastAsia="Calibri" w:cs="Arial"/>
                <w:color w:val="000000"/>
                <w:spacing w:val="-3"/>
                <w:lang w:val="es-MX"/>
              </w:rPr>
              <w:t>(11)</w:t>
            </w:r>
          </w:p>
        </w:tc>
      </w:tr>
      <w:tr w:rsidR="00E76E8D" w14:paraId="3A9BC018" w14:textId="77777777" w:rsidTr="00E76E8D">
        <w:trPr>
          <w:trHeight w:val="650"/>
        </w:trPr>
        <w:tc>
          <w:tcPr>
            <w:cnfStyle w:val="001000000000" w:firstRow="0" w:lastRow="0" w:firstColumn="1" w:lastColumn="0" w:oddVBand="0" w:evenVBand="0" w:oddHBand="0" w:evenHBand="0" w:firstRowFirstColumn="0" w:firstRowLastColumn="0" w:lastRowFirstColumn="0" w:lastRowLastColumn="0"/>
            <w:tcW w:w="4036" w:type="pct"/>
            <w:shd w:val="clear" w:color="auto" w:fill="auto"/>
          </w:tcPr>
          <w:p w14:paraId="649C4BB4" w14:textId="77777777" w:rsidR="00B51EB7" w:rsidRPr="005A44D6" w:rsidRDefault="005C79B1" w:rsidP="00E149F4">
            <w:pPr>
              <w:pStyle w:val="CETEquation"/>
              <w:rPr>
                <w:lang w:val="es-CO"/>
              </w:rPr>
            </w:pPr>
            <m:oMathPara>
              <m:oMathParaPr>
                <m:jc m:val="left"/>
              </m:oMathParaPr>
              <m:oMath>
                <m:r>
                  <m:rPr>
                    <m:sty m:val="bi"/>
                  </m:rPr>
                  <w:rPr>
                    <w:rFonts w:ascii="Cambria Math" w:hAnsi="Cambria Math"/>
                    <w:lang w:val="es-CO"/>
                  </w:rPr>
                  <m:t>ACR</m:t>
                </m:r>
                <m:r>
                  <m:rPr>
                    <m:sty m:val="b"/>
                  </m:rPr>
                  <w:rPr>
                    <w:rFonts w:ascii="Cambria Math" w:hAnsi="Cambria Math"/>
                    <w:lang w:val="es-CO"/>
                  </w:rPr>
                  <m:t>=</m:t>
                </m:r>
                <m:r>
                  <m:rPr>
                    <m:sty m:val="bi"/>
                  </m:rPr>
                  <w:rPr>
                    <w:rFonts w:ascii="Cambria Math" w:hAnsi="Cambria Math"/>
                    <w:lang w:val="es-CO"/>
                  </w:rPr>
                  <m:t>NPV</m:t>
                </m:r>
                <m:r>
                  <m:rPr>
                    <m:sty m:val="b"/>
                  </m:rPr>
                  <w:rPr>
                    <w:rFonts w:ascii="Cambria Math" w:hAnsi="Cambria Math"/>
                    <w:lang w:val="es-CO"/>
                  </w:rPr>
                  <m:t xml:space="preserve"> </m:t>
                </m:r>
                <m:d>
                  <m:dPr>
                    <m:ctrlPr>
                      <w:rPr>
                        <w:rFonts w:ascii="Cambria Math" w:hAnsi="Cambria Math"/>
                        <w:lang w:val="es-CO"/>
                      </w:rPr>
                    </m:ctrlPr>
                  </m:dPr>
                  <m:e>
                    <m:f>
                      <m:fPr>
                        <m:ctrlPr>
                          <w:rPr>
                            <w:rFonts w:ascii="Cambria Math" w:hAnsi="Cambria Math"/>
                            <w:lang w:val="es-CO"/>
                          </w:rPr>
                        </m:ctrlPr>
                      </m:fPr>
                      <m:num>
                        <m:r>
                          <m:rPr>
                            <m:sty m:val="bi"/>
                          </m:rPr>
                          <w:rPr>
                            <w:rFonts w:ascii="Cambria Math" w:hAnsi="Cambria Math"/>
                            <w:lang w:val="es-CO"/>
                          </w:rPr>
                          <m:t>i</m:t>
                        </m:r>
                        <m:sSup>
                          <m:sSupPr>
                            <m:ctrlPr>
                              <w:rPr>
                                <w:rFonts w:ascii="Cambria Math" w:hAnsi="Cambria Math"/>
                                <w:lang w:val="es-CO"/>
                              </w:rPr>
                            </m:ctrlPr>
                          </m:sSupPr>
                          <m:e>
                            <m:r>
                              <m:rPr>
                                <m:sty m:val="b"/>
                              </m:rPr>
                              <w:rPr>
                                <w:rFonts w:ascii="Cambria Math" w:hAnsi="Cambria Math"/>
                                <w:lang w:val="es-CO"/>
                              </w:rPr>
                              <m:t>(1+</m:t>
                            </m:r>
                            <m:r>
                              <m:rPr>
                                <m:sty m:val="bi"/>
                              </m:rPr>
                              <w:rPr>
                                <w:rFonts w:ascii="Cambria Math" w:hAnsi="Cambria Math"/>
                                <w:lang w:val="es-CO"/>
                              </w:rPr>
                              <m:t>i</m:t>
                            </m:r>
                            <m:r>
                              <m:rPr>
                                <m:sty m:val="b"/>
                              </m:rPr>
                              <w:rPr>
                                <w:rFonts w:ascii="Cambria Math" w:hAnsi="Cambria Math"/>
                                <w:lang w:val="es-CO"/>
                              </w:rPr>
                              <m:t>)</m:t>
                            </m:r>
                          </m:e>
                          <m:sup>
                            <m:r>
                              <m:rPr>
                                <m:sty m:val="bi"/>
                              </m:rPr>
                              <w:rPr>
                                <w:rFonts w:ascii="Cambria Math" w:hAnsi="Cambria Math"/>
                                <w:lang w:val="es-CO"/>
                              </w:rPr>
                              <m:t>n</m:t>
                            </m:r>
                          </m:sup>
                        </m:sSup>
                      </m:num>
                      <m:den>
                        <m:sSup>
                          <m:sSupPr>
                            <m:ctrlPr>
                              <w:rPr>
                                <w:rFonts w:ascii="Cambria Math" w:hAnsi="Cambria Math"/>
                                <w:lang w:val="es-CO"/>
                              </w:rPr>
                            </m:ctrlPr>
                          </m:sSupPr>
                          <m:e>
                            <m:r>
                              <m:rPr>
                                <m:sty m:val="b"/>
                              </m:rPr>
                              <w:rPr>
                                <w:rFonts w:ascii="Cambria Math" w:hAnsi="Cambria Math"/>
                                <w:lang w:val="es-CO"/>
                              </w:rPr>
                              <m:t>(1+</m:t>
                            </m:r>
                            <m:r>
                              <m:rPr>
                                <m:sty m:val="bi"/>
                              </m:rPr>
                              <w:rPr>
                                <w:rFonts w:ascii="Cambria Math" w:hAnsi="Cambria Math"/>
                                <w:lang w:val="es-CO"/>
                              </w:rPr>
                              <m:t>i</m:t>
                            </m:r>
                            <m:r>
                              <m:rPr>
                                <m:sty m:val="b"/>
                              </m:rPr>
                              <w:rPr>
                                <w:rFonts w:ascii="Cambria Math" w:hAnsi="Cambria Math"/>
                                <w:lang w:val="es-CO"/>
                              </w:rPr>
                              <m:t>)</m:t>
                            </m:r>
                          </m:e>
                          <m:sup>
                            <m:r>
                              <m:rPr>
                                <m:sty m:val="bi"/>
                              </m:rPr>
                              <w:rPr>
                                <w:rFonts w:ascii="Cambria Math" w:hAnsi="Cambria Math"/>
                                <w:lang w:val="es-CO"/>
                              </w:rPr>
                              <m:t>n</m:t>
                            </m:r>
                          </m:sup>
                        </m:sSup>
                        <m:r>
                          <m:rPr>
                            <m:sty m:val="b"/>
                          </m:rPr>
                          <w:rPr>
                            <w:rFonts w:ascii="Cambria Math" w:hAnsi="Cambria Math"/>
                            <w:lang w:val="es-CO"/>
                          </w:rPr>
                          <m:t>-1</m:t>
                        </m:r>
                      </m:den>
                    </m:f>
                  </m:e>
                </m:d>
              </m:oMath>
            </m:oMathPara>
          </w:p>
        </w:tc>
        <w:tc>
          <w:tcPr>
            <w:tcW w:w="964" w:type="pct"/>
            <w:shd w:val="clear" w:color="auto" w:fill="auto"/>
          </w:tcPr>
          <w:p w14:paraId="5B111D3E" w14:textId="77777777" w:rsidR="00B51EB7" w:rsidRPr="005A44D6" w:rsidRDefault="005C79B1" w:rsidP="00E149F4">
            <w:pPr>
              <w:pStyle w:val="CETEquation"/>
              <w:cnfStyle w:val="000000000000" w:firstRow="0" w:lastRow="0" w:firstColumn="0" w:lastColumn="0" w:oddVBand="0" w:evenVBand="0" w:oddHBand="0" w:evenHBand="0" w:firstRowFirstColumn="0" w:firstRowLastColumn="0" w:lastRowFirstColumn="0" w:lastRowLastColumn="0"/>
              <w:rPr>
                <w:rFonts w:eastAsia="Calibri" w:cs="Arial"/>
                <w:color w:val="000000"/>
                <w:spacing w:val="-3"/>
                <w:lang w:val="es-MX"/>
              </w:rPr>
            </w:pPr>
            <w:r>
              <w:rPr>
                <w:rFonts w:eastAsia="Calibri" w:cs="Arial"/>
                <w:color w:val="000000"/>
                <w:spacing w:val="-3"/>
                <w:lang w:val="es-MX"/>
              </w:rPr>
              <w:t>(12)</w:t>
            </w:r>
          </w:p>
        </w:tc>
      </w:tr>
      <w:bookmarkEnd w:id="2"/>
    </w:tbl>
    <w:p w14:paraId="04253A21" w14:textId="77777777" w:rsidR="00B51EB7" w:rsidRDefault="00B51EB7" w:rsidP="00F233EB">
      <w:pPr>
        <w:pStyle w:val="CETBodytext"/>
        <w:rPr>
          <w:lang w:val="es-CO"/>
        </w:rPr>
      </w:pPr>
    </w:p>
    <w:p w14:paraId="2333BC90" w14:textId="7A474311" w:rsidR="00170D14" w:rsidRPr="0022499F" w:rsidRDefault="005C79B1" w:rsidP="0022499F">
      <w:pPr>
        <w:pStyle w:val="CETBodytext"/>
      </w:pPr>
      <w:r w:rsidRPr="0022499F">
        <w:t xml:space="preserve">Another indicator is the payback period and is calculated by applying Eq. (9). Furthermore, it is possible to determine the return on investment with Eq. (10), considering the value of money over time. Eq. (11) is used to calculate the Net Present </w:t>
      </w:r>
      <w:r w:rsidR="00FD2AEC" w:rsidRPr="0022499F">
        <w:t>Value;</w:t>
      </w:r>
      <w:r w:rsidRPr="0022499F">
        <w:t xml:space="preserve"> this is the sum of all the profits accumulated in the periods of operation of the plant. Finally, the cost-benefit ratio of a project is determined by Eq. (12).               </w:t>
      </w:r>
      <w:r w:rsidR="00B51EB7" w:rsidRPr="0022499F">
        <w:t xml:space="preserve">                                                                                                                                                   </w:t>
      </w:r>
    </w:p>
    <w:p w14:paraId="275F94E0" w14:textId="0109CE95" w:rsidR="00170D14" w:rsidRPr="005F0DE6" w:rsidRDefault="005F0DE6" w:rsidP="005F0DE6">
      <w:pPr>
        <w:pStyle w:val="CETheadingx"/>
      </w:pPr>
      <w:r w:rsidRPr="005F0DE6">
        <w:t>2.3</w:t>
      </w:r>
      <w:r w:rsidR="005C79B1" w:rsidRPr="005F0DE6">
        <w:t xml:space="preserve"> </w:t>
      </w:r>
      <w:r w:rsidR="00D6106D" w:rsidRPr="005F0DE6">
        <w:t>Technoe</w:t>
      </w:r>
      <w:r w:rsidR="005C79B1" w:rsidRPr="005F0DE6">
        <w:t>conomic analysis</w:t>
      </w:r>
      <w:bookmarkStart w:id="3" w:name="_Hlk93013283"/>
    </w:p>
    <w:p w14:paraId="18DF16B7" w14:textId="1CDE83C7" w:rsidR="006D24FB" w:rsidRDefault="005C79B1" w:rsidP="0052041B">
      <w:pPr>
        <w:pStyle w:val="CETBodytext"/>
      </w:pPr>
      <w:r w:rsidRPr="0052041B">
        <w:t xml:space="preserve">For the assembly of the oil and biochar production plant from avocado, some considerations were made as shown in table 1. </w:t>
      </w:r>
      <w:r w:rsidR="0052041B" w:rsidRPr="0052041B">
        <w:t>These were established according to local conditions and based on the total production of avocado in the region, 30 % was taken as processing capacity, that is, 10,500 t/y. The plant uses avocados that are discarded, producing 1,505 t/y between oil and biochar.</w:t>
      </w:r>
      <w:r w:rsidR="008F04BE">
        <w:t xml:space="preserve"> </w:t>
      </w:r>
      <w:r w:rsidR="008F04BE" w:rsidRPr="00B84823">
        <w:t>The economic analysis considered a useful life of the plant of 15 years, an income tax rate of 32</w:t>
      </w:r>
      <w:r w:rsidR="008F04BE">
        <w:t xml:space="preserve"> </w:t>
      </w:r>
      <w:r w:rsidR="008F04BE" w:rsidRPr="00B84823">
        <w:t xml:space="preserve">% </w:t>
      </w:r>
      <w:r w:rsidR="008F04BE" w:rsidRPr="00B84823">
        <w:rPr>
          <w:rFonts w:eastAsia="Calibri"/>
          <w:lang w:val="es-CO"/>
        </w:rPr>
        <w:fldChar w:fldCharType="begin" w:fldLock="1"/>
      </w:r>
      <w:r w:rsidR="008F04BE" w:rsidRPr="00B84823">
        <w:rPr>
          <w:rFonts w:eastAsia="Calibri"/>
        </w:rPr>
        <w:instrText>ADDIN CSL_CITATION {"citationItems":[{"id":"ITEM-1","itemData":{"URL":"https://www.ppulegal.com/insights/prensa/ii-impuesto-de-renta-para-personas-juridicas/","accessed":{"date-parts":[["2021","5","6"]]},"author":[{"dropping-particle":"","family":"Acero","given":"Martin","non-dropping-particle":"","parse-names":false,"suffix":""},{"dropping-particle":"","family":"Barone","given":"Veronica","non-dropping-particle":"","parse-names":false,"suffix":""}],"id":"ITEM-1","issued":{"date-parts":[["2019"]]},"title":"Impuesto sobre la renta","type":"webpage"},"uris":["http://www.mendeley.com/documents/?uuid=5ba5d1f4-b5d7-4c36-a289-fb38ddb28a15"]}],"mendeley":{"formattedCitation":"(Acero and Barone 2019)","manualFormatting":"(Acero and Barone, 2019)","plainTextFormattedCitation":"(Acero and Barone 2019)","previouslyFormattedCitation":"(Acero and Barone 2019)"},"properties":{"noteIndex":0},"schema":"https://github.com/citation-style-language/schema/raw/master/csl-citation.json"}</w:instrText>
      </w:r>
      <w:r w:rsidR="008F04BE" w:rsidRPr="00B84823">
        <w:rPr>
          <w:rFonts w:eastAsia="Calibri"/>
          <w:lang w:val="es-CO"/>
        </w:rPr>
        <w:fldChar w:fldCharType="separate"/>
      </w:r>
      <w:r w:rsidR="008F04BE" w:rsidRPr="00B84823">
        <w:rPr>
          <w:rFonts w:eastAsia="Calibri"/>
          <w:noProof/>
        </w:rPr>
        <w:t>(Acero and Barone, 2019)</w:t>
      </w:r>
      <w:r w:rsidR="008F04BE" w:rsidRPr="00B84823">
        <w:rPr>
          <w:rFonts w:eastAsia="Calibri"/>
          <w:lang w:val="es-CO"/>
        </w:rPr>
        <w:fldChar w:fldCharType="end"/>
      </w:r>
      <w:r w:rsidR="008F04BE" w:rsidRPr="00B84823">
        <w:rPr>
          <w:rFonts w:eastAsia="Calibri"/>
        </w:rPr>
        <w:t xml:space="preserve">, </w:t>
      </w:r>
      <w:r w:rsidR="008F04BE" w:rsidRPr="00B84823">
        <w:t>and an interest rate of 8.3</w:t>
      </w:r>
      <w:r w:rsidR="008F04BE">
        <w:t xml:space="preserve"> </w:t>
      </w:r>
      <w:r w:rsidR="008F04BE" w:rsidRPr="00B84823">
        <w:t xml:space="preserve">% </w:t>
      </w:r>
      <w:r w:rsidR="008F04BE" w:rsidRPr="00B84823">
        <w:rPr>
          <w:rFonts w:eastAsia="Calibri"/>
          <w:lang w:val="es-CO"/>
        </w:rPr>
        <w:fldChar w:fldCharType="begin" w:fldLock="1"/>
      </w:r>
      <w:r w:rsidR="008F04BE">
        <w:rPr>
          <w:rFonts w:eastAsia="Calibri"/>
        </w:rPr>
        <w:instrText>ADDIN CSL_CITATION {"citationItems":[{"id":"ITEM-1","itemData":{"URL":"https://data.worldbank.org/indicator/FR.INR.RINR","accessed":{"date-parts":[["2021","5","6"]]},"author":[{"dropping-particle":"","family":"THE WORLD BANK","given":"","non-dropping-particle":"","parse-names":false,"suffix":""}],"id":"ITEM-1","issued":{"date-parts":[["2020"]]},"title":"Real interest rate (%)","type":"webpage"},"uris":["http://www.mendeley.com/documents/?uuid=e58e0b9b-8187-486a-a34c-0ddf555bfa13"]}],"mendeley":{"formattedCitation":"(THE WORLD BANK 2020)","manualFormatting":"(The World Bank, 2020)","plainTextFormattedCitation":"(THE WORLD BANK 2020)","previouslyFormattedCitation":"(THE WORLD BANK 2020)"},"properties":{"noteIndex":0},"schema":"https://github.com/citation-style-language/schema/raw/master/csl-citation.json"}</w:instrText>
      </w:r>
      <w:r w:rsidR="008F04BE" w:rsidRPr="00B84823">
        <w:rPr>
          <w:rFonts w:eastAsia="Calibri"/>
          <w:lang w:val="es-CO"/>
        </w:rPr>
        <w:fldChar w:fldCharType="separate"/>
      </w:r>
      <w:r w:rsidR="008F04BE" w:rsidRPr="00B84823">
        <w:rPr>
          <w:rFonts w:eastAsia="Calibri"/>
          <w:noProof/>
        </w:rPr>
        <w:t>(T</w:t>
      </w:r>
      <w:r w:rsidR="008F04BE">
        <w:rPr>
          <w:rFonts w:eastAsia="Calibri"/>
          <w:noProof/>
        </w:rPr>
        <w:t>he World Bank</w:t>
      </w:r>
      <w:r w:rsidR="008F04BE" w:rsidRPr="00B84823">
        <w:rPr>
          <w:rFonts w:eastAsia="Calibri"/>
          <w:noProof/>
        </w:rPr>
        <w:t>, 2020)</w:t>
      </w:r>
      <w:r w:rsidR="008F04BE" w:rsidRPr="00B84823">
        <w:rPr>
          <w:rFonts w:eastAsia="Calibri"/>
          <w:lang w:val="es-CO"/>
        </w:rPr>
        <w:fldChar w:fldCharType="end"/>
      </w:r>
      <w:r w:rsidR="008F04BE" w:rsidRPr="00B84823">
        <w:rPr>
          <w:rFonts w:eastAsia="Calibri"/>
        </w:rPr>
        <w:t xml:space="preserve"> </w:t>
      </w:r>
      <w:r w:rsidR="008F04BE" w:rsidRPr="00B84823">
        <w:t>for the year 2020. A contingency value of 30</w:t>
      </w:r>
      <w:r w:rsidR="008F04BE">
        <w:t xml:space="preserve"> </w:t>
      </w:r>
      <w:r w:rsidR="008F04BE" w:rsidRPr="00B84823">
        <w:t>% was established, that is, money that can be used for contingencies such as strikes, design changes, price changes, and floods.</w:t>
      </w:r>
      <w:r w:rsidR="00F76334" w:rsidRPr="00F76334">
        <w:t xml:space="preserve"> The costs of raw materials were consulted through suppliers (www.alibaba.com), also taking into account the prices in the market, the price of the products was set.</w:t>
      </w:r>
    </w:p>
    <w:p w14:paraId="2D1E897F" w14:textId="77777777" w:rsidR="005F0DE6" w:rsidRPr="0052041B" w:rsidRDefault="005F0DE6" w:rsidP="0052041B">
      <w:pPr>
        <w:pStyle w:val="CETBodytext"/>
      </w:pPr>
    </w:p>
    <w:bookmarkEnd w:id="3"/>
    <w:p w14:paraId="41772CF1" w14:textId="7D14DE41" w:rsidR="003C557B" w:rsidRPr="005C79B1" w:rsidRDefault="005C79B1" w:rsidP="005C79B1">
      <w:pPr>
        <w:pStyle w:val="CETTabletitle"/>
      </w:pPr>
      <w:r w:rsidRPr="005C79B1">
        <w:lastRenderedPageBreak/>
        <w:t>Tabl</w:t>
      </w:r>
      <w:r w:rsidR="00075F8B" w:rsidRPr="005C79B1">
        <w:t>e</w:t>
      </w:r>
      <w:r w:rsidRPr="005C79B1">
        <w:t xml:space="preserve"> 1</w:t>
      </w:r>
      <w:r w:rsidR="00D65087">
        <w:t>:</w:t>
      </w:r>
      <w:r w:rsidRPr="005C79B1">
        <w:t xml:space="preserve"> </w:t>
      </w:r>
      <w:r w:rsidR="00075F8B" w:rsidRPr="005C79B1">
        <w:rPr>
          <w:rFonts w:eastAsia="Calibri"/>
        </w:rPr>
        <w:t xml:space="preserve">Technoeconomic assumptions for oil and biochar production from </w:t>
      </w:r>
      <w:r w:rsidR="00044D5E">
        <w:rPr>
          <w:rFonts w:eastAsia="Calibri"/>
        </w:rPr>
        <w:t xml:space="preserve">creole </w:t>
      </w:r>
      <w:r w:rsidR="00075F8B" w:rsidRPr="005C79B1">
        <w:rPr>
          <w:rFonts w:eastAsia="Calibri"/>
        </w:rPr>
        <w:t>avocado</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5"/>
        <w:gridCol w:w="3118"/>
      </w:tblGrid>
      <w:tr w:rsidR="00E76E8D" w14:paraId="6D75E1F0" w14:textId="77777777" w:rsidTr="00BB01F2">
        <w:tc>
          <w:tcPr>
            <w:tcW w:w="4395" w:type="dxa"/>
            <w:tcBorders>
              <w:top w:val="double" w:sz="4" w:space="0" w:color="9BBB59" w:themeColor="accent3"/>
            </w:tcBorders>
            <w:shd w:val="clear" w:color="auto" w:fill="FFFFFF"/>
          </w:tcPr>
          <w:p w14:paraId="1403F7D0" w14:textId="77777777" w:rsidR="006D24FB" w:rsidRPr="00B84823" w:rsidRDefault="005C79B1" w:rsidP="00E56486">
            <w:pPr>
              <w:pStyle w:val="CETBodytext"/>
              <w:rPr>
                <w:rFonts w:cs="Arial"/>
                <w:szCs w:val="18"/>
                <w:lang w:val="en-GB"/>
              </w:rPr>
            </w:pPr>
            <w:r w:rsidRPr="00B84823">
              <w:rPr>
                <w:rFonts w:eastAsia="Calibri" w:cs="Arial"/>
                <w:color w:val="000000"/>
                <w:szCs w:val="18"/>
                <w:lang w:eastAsia="es-CO"/>
              </w:rPr>
              <w:t>Processing capacity (t/y)</w:t>
            </w:r>
          </w:p>
        </w:tc>
        <w:tc>
          <w:tcPr>
            <w:tcW w:w="3118" w:type="dxa"/>
            <w:tcBorders>
              <w:top w:val="double" w:sz="4" w:space="0" w:color="9BBB59" w:themeColor="accent3"/>
            </w:tcBorders>
            <w:shd w:val="clear" w:color="auto" w:fill="FFFFFF"/>
          </w:tcPr>
          <w:p w14:paraId="7746AD5E" w14:textId="77777777" w:rsidR="006D24FB" w:rsidRPr="00B84823" w:rsidRDefault="005C79B1" w:rsidP="00E56486">
            <w:pPr>
              <w:pStyle w:val="CETBodytext"/>
              <w:rPr>
                <w:rFonts w:cs="Arial"/>
                <w:szCs w:val="18"/>
                <w:lang w:val="en-GB"/>
              </w:rPr>
            </w:pPr>
            <w:r w:rsidRPr="00B84823">
              <w:rPr>
                <w:rFonts w:eastAsia="Calibri" w:cs="Arial"/>
                <w:color w:val="000000"/>
                <w:szCs w:val="18"/>
                <w:lang w:eastAsia="es-CO"/>
              </w:rPr>
              <w:t>10,500</w:t>
            </w:r>
          </w:p>
        </w:tc>
      </w:tr>
      <w:tr w:rsidR="00E76E8D" w14:paraId="4D4E03EF" w14:textId="77777777" w:rsidTr="00075F8B">
        <w:tc>
          <w:tcPr>
            <w:tcW w:w="4395" w:type="dxa"/>
            <w:shd w:val="clear" w:color="auto" w:fill="FFFFFF"/>
          </w:tcPr>
          <w:p w14:paraId="5E699884" w14:textId="77777777" w:rsidR="006D24FB" w:rsidRPr="00B84823" w:rsidRDefault="005C79B1" w:rsidP="00E56486">
            <w:pPr>
              <w:pStyle w:val="CETBodytext"/>
              <w:rPr>
                <w:rFonts w:eastAsia="Calibri" w:cs="Arial"/>
                <w:color w:val="000000"/>
                <w:szCs w:val="18"/>
                <w:lang w:eastAsia="es-CO"/>
              </w:rPr>
            </w:pPr>
            <w:r w:rsidRPr="00B84823">
              <w:rPr>
                <w:rFonts w:eastAsia="Calibri" w:cs="Arial"/>
                <w:color w:val="000000"/>
                <w:szCs w:val="18"/>
                <w:lang w:eastAsia="es-CO"/>
              </w:rPr>
              <w:t>Main product flow (t/y)</w:t>
            </w:r>
          </w:p>
        </w:tc>
        <w:tc>
          <w:tcPr>
            <w:tcW w:w="3118" w:type="dxa"/>
            <w:shd w:val="clear" w:color="auto" w:fill="FFFFFF"/>
          </w:tcPr>
          <w:p w14:paraId="140CE230" w14:textId="77777777" w:rsidR="006D24FB" w:rsidRPr="00B84823" w:rsidRDefault="005C79B1" w:rsidP="00E56486">
            <w:pPr>
              <w:pStyle w:val="CETBodytext"/>
              <w:rPr>
                <w:rFonts w:eastAsia="Calibri" w:cs="Arial"/>
                <w:color w:val="000000"/>
                <w:szCs w:val="18"/>
                <w:lang w:eastAsia="es-CO"/>
              </w:rPr>
            </w:pPr>
            <w:r w:rsidRPr="00B84823">
              <w:rPr>
                <w:rFonts w:eastAsia="Calibri" w:cs="Arial"/>
                <w:color w:val="000000"/>
                <w:szCs w:val="18"/>
                <w:lang w:eastAsia="es-CO"/>
              </w:rPr>
              <w:t>1,505</w:t>
            </w:r>
          </w:p>
        </w:tc>
      </w:tr>
      <w:tr w:rsidR="00E76E8D" w14:paraId="37B103C2" w14:textId="77777777" w:rsidTr="00075F8B">
        <w:tc>
          <w:tcPr>
            <w:tcW w:w="4395" w:type="dxa"/>
            <w:shd w:val="clear" w:color="auto" w:fill="FFFFFF"/>
          </w:tcPr>
          <w:p w14:paraId="44F9C004" w14:textId="77777777" w:rsidR="00DA1514" w:rsidRPr="00B84823" w:rsidRDefault="005C79B1" w:rsidP="00E56486">
            <w:pPr>
              <w:pStyle w:val="CETBodytext"/>
              <w:rPr>
                <w:rFonts w:eastAsia="Calibri" w:cs="Arial"/>
                <w:color w:val="000000"/>
                <w:szCs w:val="18"/>
                <w:lang w:eastAsia="es-CO"/>
              </w:rPr>
            </w:pPr>
            <w:r w:rsidRPr="00B84823">
              <w:rPr>
                <w:rFonts w:eastAsia="Calibri" w:cs="Arial"/>
                <w:color w:val="000000"/>
                <w:szCs w:val="18"/>
                <w:lang w:eastAsia="es-CO"/>
              </w:rPr>
              <w:t>Avocado ($/t)</w:t>
            </w:r>
          </w:p>
        </w:tc>
        <w:tc>
          <w:tcPr>
            <w:tcW w:w="3118" w:type="dxa"/>
            <w:shd w:val="clear" w:color="auto" w:fill="FFFFFF"/>
          </w:tcPr>
          <w:p w14:paraId="3C482B46" w14:textId="77777777" w:rsidR="00DA1514" w:rsidRPr="00B84823" w:rsidRDefault="005C79B1" w:rsidP="00E56486">
            <w:pPr>
              <w:pStyle w:val="CETBodytext"/>
              <w:rPr>
                <w:rFonts w:eastAsia="Calibri" w:cs="Arial"/>
                <w:color w:val="000000"/>
                <w:szCs w:val="18"/>
                <w:lang w:eastAsia="es-CO"/>
              </w:rPr>
            </w:pPr>
            <w:r w:rsidRPr="00B84823">
              <w:rPr>
                <w:rFonts w:eastAsia="Calibri" w:cs="Arial"/>
                <w:color w:val="000000"/>
                <w:szCs w:val="18"/>
                <w:lang w:eastAsia="es-CO"/>
              </w:rPr>
              <w:t>36</w:t>
            </w:r>
          </w:p>
        </w:tc>
      </w:tr>
      <w:tr w:rsidR="00E76E8D" w14:paraId="358F5772" w14:textId="77777777" w:rsidTr="00075F8B">
        <w:tc>
          <w:tcPr>
            <w:tcW w:w="4395" w:type="dxa"/>
            <w:shd w:val="clear" w:color="auto" w:fill="FFFFFF"/>
          </w:tcPr>
          <w:p w14:paraId="1CE9EF76" w14:textId="77777777" w:rsidR="006D24FB" w:rsidRPr="00B84823" w:rsidRDefault="005C79B1" w:rsidP="00E56486">
            <w:pPr>
              <w:pStyle w:val="CETBodytext"/>
              <w:rPr>
                <w:rFonts w:eastAsia="Calibri" w:cs="Arial"/>
                <w:color w:val="000000"/>
                <w:szCs w:val="18"/>
                <w:lang w:eastAsia="es-CO"/>
              </w:rPr>
            </w:pPr>
            <w:r w:rsidRPr="00B84823">
              <w:rPr>
                <w:rFonts w:eastAsia="Calibri" w:cs="Arial"/>
                <w:color w:val="000000"/>
                <w:szCs w:val="18"/>
                <w:lang w:eastAsia="es-CO"/>
              </w:rPr>
              <w:t>Avocado oil ($/kg)</w:t>
            </w:r>
          </w:p>
        </w:tc>
        <w:tc>
          <w:tcPr>
            <w:tcW w:w="3118" w:type="dxa"/>
            <w:shd w:val="clear" w:color="auto" w:fill="FFFFFF"/>
          </w:tcPr>
          <w:p w14:paraId="55944E5E" w14:textId="77777777" w:rsidR="006D24FB" w:rsidRPr="00B84823" w:rsidRDefault="005C79B1" w:rsidP="00E56486">
            <w:pPr>
              <w:pStyle w:val="CETBodytext"/>
              <w:rPr>
                <w:rFonts w:eastAsia="Calibri" w:cs="Arial"/>
                <w:color w:val="000000"/>
                <w:szCs w:val="18"/>
                <w:lang w:eastAsia="es-CO"/>
              </w:rPr>
            </w:pPr>
            <w:r w:rsidRPr="00B84823">
              <w:rPr>
                <w:rFonts w:eastAsia="Calibri" w:cs="Arial"/>
                <w:color w:val="000000"/>
                <w:szCs w:val="18"/>
                <w:lang w:eastAsia="es-CO"/>
              </w:rPr>
              <w:t>20</w:t>
            </w:r>
          </w:p>
        </w:tc>
      </w:tr>
      <w:tr w:rsidR="00E76E8D" w14:paraId="5CA340C9" w14:textId="77777777" w:rsidTr="00075F8B">
        <w:tc>
          <w:tcPr>
            <w:tcW w:w="4395" w:type="dxa"/>
            <w:shd w:val="clear" w:color="auto" w:fill="FFFFFF"/>
          </w:tcPr>
          <w:p w14:paraId="571A8E73" w14:textId="77777777" w:rsidR="006D24FB" w:rsidRPr="00B84823" w:rsidRDefault="005C79B1" w:rsidP="00E56486">
            <w:pPr>
              <w:pStyle w:val="CETBodytext"/>
              <w:rPr>
                <w:rFonts w:eastAsia="Calibri" w:cs="Arial"/>
                <w:color w:val="000000"/>
                <w:szCs w:val="18"/>
                <w:lang w:eastAsia="es-CO"/>
              </w:rPr>
            </w:pPr>
            <w:r w:rsidRPr="00B84823">
              <w:rPr>
                <w:rFonts w:eastAsia="Calibri" w:cs="Arial"/>
                <w:color w:val="000000"/>
                <w:szCs w:val="18"/>
                <w:lang w:eastAsia="es-CO"/>
              </w:rPr>
              <w:t xml:space="preserve">Avocado </w:t>
            </w:r>
            <w:r w:rsidR="00AF61B4" w:rsidRPr="00B84823">
              <w:rPr>
                <w:rFonts w:eastAsia="Calibri" w:cs="Arial"/>
                <w:color w:val="000000"/>
                <w:szCs w:val="18"/>
                <w:lang w:eastAsia="es-CO"/>
              </w:rPr>
              <w:t>biochar ($/kg)</w:t>
            </w:r>
          </w:p>
        </w:tc>
        <w:tc>
          <w:tcPr>
            <w:tcW w:w="3118" w:type="dxa"/>
            <w:shd w:val="clear" w:color="auto" w:fill="FFFFFF"/>
          </w:tcPr>
          <w:p w14:paraId="30D7AA0B" w14:textId="77777777" w:rsidR="006D24FB" w:rsidRPr="00B84823" w:rsidRDefault="005C79B1" w:rsidP="00E56486">
            <w:pPr>
              <w:pStyle w:val="CETBodytext"/>
              <w:rPr>
                <w:rFonts w:eastAsia="Calibri" w:cs="Arial"/>
                <w:color w:val="000000"/>
                <w:szCs w:val="18"/>
                <w:lang w:eastAsia="es-CO"/>
              </w:rPr>
            </w:pPr>
            <w:r w:rsidRPr="00B84823">
              <w:rPr>
                <w:rFonts w:eastAsia="Calibri" w:cs="Arial"/>
                <w:color w:val="000000"/>
                <w:szCs w:val="18"/>
                <w:lang w:eastAsia="es-CO"/>
              </w:rPr>
              <w:t>3.0</w:t>
            </w:r>
          </w:p>
        </w:tc>
      </w:tr>
      <w:tr w:rsidR="00E76E8D" w14:paraId="4E025204" w14:textId="77777777" w:rsidTr="00075F8B">
        <w:tc>
          <w:tcPr>
            <w:tcW w:w="4395" w:type="dxa"/>
            <w:shd w:val="clear" w:color="auto" w:fill="FFFFFF"/>
          </w:tcPr>
          <w:p w14:paraId="7DF94239" w14:textId="77777777" w:rsidR="006D24FB" w:rsidRPr="00B84823" w:rsidRDefault="005C79B1" w:rsidP="006D24FB">
            <w:pPr>
              <w:pStyle w:val="CETBodytext"/>
              <w:rPr>
                <w:rFonts w:eastAsia="Calibri" w:cs="Arial"/>
                <w:color w:val="000000"/>
                <w:szCs w:val="18"/>
                <w:lang w:eastAsia="es-CO"/>
              </w:rPr>
            </w:pPr>
            <w:r w:rsidRPr="00B84823">
              <w:rPr>
                <w:rFonts w:eastAsia="Calibri" w:cs="Arial"/>
                <w:color w:val="000000"/>
                <w:szCs w:val="18"/>
                <w:lang w:eastAsia="es-CO"/>
              </w:rPr>
              <w:t>Salvage value</w:t>
            </w:r>
          </w:p>
        </w:tc>
        <w:tc>
          <w:tcPr>
            <w:tcW w:w="3118" w:type="dxa"/>
            <w:shd w:val="clear" w:color="auto" w:fill="FFFFFF"/>
          </w:tcPr>
          <w:p w14:paraId="5E6E716D" w14:textId="77777777" w:rsidR="006D24FB" w:rsidRPr="00B84823" w:rsidRDefault="005C79B1" w:rsidP="006D24FB">
            <w:pPr>
              <w:pStyle w:val="CETBodytext"/>
              <w:rPr>
                <w:rFonts w:eastAsia="Calibri" w:cs="Arial"/>
                <w:color w:val="000000"/>
                <w:szCs w:val="18"/>
                <w:lang w:eastAsia="es-CO"/>
              </w:rPr>
            </w:pPr>
            <w:r w:rsidRPr="00B84823">
              <w:rPr>
                <w:rFonts w:eastAsia="Calibri" w:cs="Arial"/>
                <w:color w:val="000000"/>
                <w:szCs w:val="18"/>
                <w:lang w:eastAsia="es-CO"/>
              </w:rPr>
              <w:t>10 % of depreciable FCI</w:t>
            </w:r>
          </w:p>
        </w:tc>
      </w:tr>
      <w:tr w:rsidR="00E76E8D" w14:paraId="619A242F" w14:textId="77777777" w:rsidTr="00075F8B">
        <w:tc>
          <w:tcPr>
            <w:tcW w:w="4395" w:type="dxa"/>
            <w:shd w:val="clear" w:color="auto" w:fill="FFFFFF"/>
          </w:tcPr>
          <w:p w14:paraId="4A11411D" w14:textId="77777777" w:rsidR="00AF61B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 xml:space="preserve">Construction time of the plant </w:t>
            </w:r>
          </w:p>
        </w:tc>
        <w:tc>
          <w:tcPr>
            <w:tcW w:w="3118" w:type="dxa"/>
            <w:shd w:val="clear" w:color="auto" w:fill="FFFFFF"/>
          </w:tcPr>
          <w:p w14:paraId="12FBD153" w14:textId="77777777" w:rsidR="00AF61B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3 years</w:t>
            </w:r>
          </w:p>
        </w:tc>
      </w:tr>
      <w:tr w:rsidR="00E76E8D" w14:paraId="38AE1BD1" w14:textId="77777777" w:rsidTr="00075F8B">
        <w:tc>
          <w:tcPr>
            <w:tcW w:w="4395" w:type="dxa"/>
            <w:shd w:val="clear" w:color="auto" w:fill="FFFFFF"/>
          </w:tcPr>
          <w:p w14:paraId="716B0067" w14:textId="77777777" w:rsidR="00AF61B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Type of process</w:t>
            </w:r>
          </w:p>
        </w:tc>
        <w:tc>
          <w:tcPr>
            <w:tcW w:w="3118" w:type="dxa"/>
            <w:shd w:val="clear" w:color="auto" w:fill="FFFFFF"/>
          </w:tcPr>
          <w:p w14:paraId="30FB6DC0" w14:textId="77777777" w:rsidR="00AF61B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New and unproven</w:t>
            </w:r>
          </w:p>
        </w:tc>
      </w:tr>
      <w:tr w:rsidR="00E76E8D" w14:paraId="53C700B0" w14:textId="77777777" w:rsidTr="00075F8B">
        <w:tc>
          <w:tcPr>
            <w:tcW w:w="4395" w:type="dxa"/>
            <w:shd w:val="clear" w:color="auto" w:fill="FFFFFF"/>
          </w:tcPr>
          <w:p w14:paraId="0A6DFC31" w14:textId="77777777" w:rsidR="00616A4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Process control</w:t>
            </w:r>
          </w:p>
        </w:tc>
        <w:tc>
          <w:tcPr>
            <w:tcW w:w="3118" w:type="dxa"/>
            <w:shd w:val="clear" w:color="auto" w:fill="FFFFFF"/>
          </w:tcPr>
          <w:p w14:paraId="3870A06B" w14:textId="77777777" w:rsidR="00616A4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Digital</w:t>
            </w:r>
          </w:p>
        </w:tc>
      </w:tr>
      <w:tr w:rsidR="00E76E8D" w14:paraId="5E2403AE" w14:textId="77777777" w:rsidTr="00075F8B">
        <w:tc>
          <w:tcPr>
            <w:tcW w:w="4395" w:type="dxa"/>
            <w:shd w:val="clear" w:color="auto" w:fill="FFFFFF"/>
          </w:tcPr>
          <w:p w14:paraId="14723549" w14:textId="77777777" w:rsidR="00616A4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Project type</w:t>
            </w:r>
          </w:p>
        </w:tc>
        <w:tc>
          <w:tcPr>
            <w:tcW w:w="3118" w:type="dxa"/>
            <w:shd w:val="clear" w:color="auto" w:fill="FFFFFF"/>
          </w:tcPr>
          <w:p w14:paraId="7C72E0B9" w14:textId="77777777" w:rsidR="00616A4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Plant on non-built land</w:t>
            </w:r>
          </w:p>
        </w:tc>
      </w:tr>
      <w:tr w:rsidR="00E76E8D" w14:paraId="701A51BD" w14:textId="77777777" w:rsidTr="00075F8B">
        <w:tc>
          <w:tcPr>
            <w:tcW w:w="4395" w:type="dxa"/>
            <w:shd w:val="clear" w:color="auto" w:fill="FFFFFF"/>
          </w:tcPr>
          <w:p w14:paraId="26AE0866" w14:textId="77777777" w:rsidR="00616A4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Soil type</w:t>
            </w:r>
          </w:p>
        </w:tc>
        <w:tc>
          <w:tcPr>
            <w:tcW w:w="3118" w:type="dxa"/>
            <w:shd w:val="clear" w:color="auto" w:fill="FFFFFF"/>
          </w:tcPr>
          <w:p w14:paraId="7D84F0E4" w14:textId="77777777" w:rsidR="00616A4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Soft clay</w:t>
            </w:r>
          </w:p>
        </w:tc>
      </w:tr>
      <w:tr w:rsidR="00E76E8D" w14:paraId="5AB9B360" w14:textId="77777777" w:rsidTr="00075F8B">
        <w:tc>
          <w:tcPr>
            <w:tcW w:w="4395" w:type="dxa"/>
            <w:shd w:val="clear" w:color="auto" w:fill="FFFFFF"/>
          </w:tcPr>
          <w:p w14:paraId="3CBEA3B1" w14:textId="77777777" w:rsidR="00616A4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Tank design code</w:t>
            </w:r>
          </w:p>
        </w:tc>
        <w:tc>
          <w:tcPr>
            <w:tcW w:w="3118" w:type="dxa"/>
            <w:shd w:val="clear" w:color="auto" w:fill="FFFFFF"/>
          </w:tcPr>
          <w:p w14:paraId="789A83A8" w14:textId="77777777" w:rsidR="00616A44" w:rsidRPr="00B84823" w:rsidRDefault="005C79B1" w:rsidP="00AF61B4">
            <w:pPr>
              <w:pStyle w:val="CETBodytext"/>
              <w:rPr>
                <w:rFonts w:eastAsia="Calibri" w:cs="Arial"/>
                <w:color w:val="000000"/>
                <w:szCs w:val="18"/>
                <w:lang w:eastAsia="es-CO"/>
              </w:rPr>
            </w:pPr>
            <w:r w:rsidRPr="00B84823">
              <w:rPr>
                <w:rFonts w:eastAsia="Calibri" w:cs="Arial"/>
                <w:color w:val="000000"/>
                <w:szCs w:val="18"/>
                <w:lang w:eastAsia="es-CO"/>
              </w:rPr>
              <w:t>(ASME)</w:t>
            </w:r>
          </w:p>
        </w:tc>
      </w:tr>
      <w:tr w:rsidR="00E76E8D" w14:paraId="410B46EE" w14:textId="77777777" w:rsidTr="00075F8B">
        <w:tc>
          <w:tcPr>
            <w:tcW w:w="4395" w:type="dxa"/>
            <w:shd w:val="clear" w:color="auto" w:fill="FFFFFF"/>
          </w:tcPr>
          <w:p w14:paraId="212340B8" w14:textId="77777777" w:rsidR="00AF61B4" w:rsidRPr="00B84823" w:rsidRDefault="005C79B1" w:rsidP="00AF61B4">
            <w:pPr>
              <w:pStyle w:val="CETBodytext"/>
              <w:ind w:right="-1"/>
              <w:rPr>
                <w:rFonts w:cs="Arial"/>
                <w:szCs w:val="18"/>
                <w:lang w:val="en-GB"/>
              </w:rPr>
            </w:pPr>
            <w:r w:rsidRPr="00B84823">
              <w:rPr>
                <w:rFonts w:eastAsia="Calibri" w:cs="Arial"/>
                <w:color w:val="000000"/>
                <w:szCs w:val="18"/>
                <w:lang w:eastAsia="es-CO"/>
              </w:rPr>
              <w:t>Specification diameter vessels</w:t>
            </w:r>
          </w:p>
        </w:tc>
        <w:tc>
          <w:tcPr>
            <w:tcW w:w="3118" w:type="dxa"/>
            <w:shd w:val="clear" w:color="auto" w:fill="FFFFFF"/>
          </w:tcPr>
          <w:p w14:paraId="60769A53" w14:textId="77777777" w:rsidR="00AF61B4" w:rsidRPr="00B84823" w:rsidRDefault="005C79B1" w:rsidP="00AF61B4">
            <w:pPr>
              <w:pStyle w:val="CETBodytext"/>
              <w:ind w:right="-1"/>
              <w:rPr>
                <w:rFonts w:cs="Arial"/>
                <w:szCs w:val="18"/>
                <w:lang w:val="en-GB"/>
              </w:rPr>
            </w:pPr>
            <w:r w:rsidRPr="00B84823">
              <w:rPr>
                <w:rFonts w:eastAsia="Calibri" w:cs="Arial"/>
                <w:color w:val="000000"/>
                <w:szCs w:val="18"/>
                <w:lang w:eastAsia="es-CO"/>
              </w:rPr>
              <w:t>Internal diameter</w:t>
            </w:r>
          </w:p>
        </w:tc>
      </w:tr>
      <w:tr w:rsidR="00E76E8D" w14:paraId="1E23952B" w14:textId="77777777" w:rsidTr="00075F8B">
        <w:tc>
          <w:tcPr>
            <w:tcW w:w="4395" w:type="dxa"/>
            <w:shd w:val="clear" w:color="auto" w:fill="FFFFFF"/>
          </w:tcPr>
          <w:p w14:paraId="68ACFE10" w14:textId="77777777" w:rsidR="00FA2587" w:rsidRPr="00B84823" w:rsidRDefault="005C79B1" w:rsidP="00FA2587">
            <w:pPr>
              <w:autoSpaceDE w:val="0"/>
              <w:autoSpaceDN w:val="0"/>
              <w:rPr>
                <w:rFonts w:eastAsia="Calibri" w:cs="Arial"/>
                <w:color w:val="000000"/>
                <w:szCs w:val="18"/>
                <w:lang w:eastAsia="es-CO"/>
              </w:rPr>
            </w:pPr>
            <w:r w:rsidRPr="00B84823">
              <w:rPr>
                <w:rFonts w:eastAsia="Calibri" w:cs="Arial"/>
                <w:color w:val="000000"/>
                <w:szCs w:val="18"/>
                <w:lang w:eastAsia="es-CO"/>
              </w:rPr>
              <w:t>Salary per operator ($/h)</w:t>
            </w:r>
          </w:p>
        </w:tc>
        <w:tc>
          <w:tcPr>
            <w:tcW w:w="3118" w:type="dxa"/>
            <w:shd w:val="clear" w:color="auto" w:fill="FFFFFF"/>
          </w:tcPr>
          <w:p w14:paraId="4F9B9157" w14:textId="77777777" w:rsidR="00FA2587" w:rsidRPr="00B84823" w:rsidRDefault="005C79B1" w:rsidP="00FA2587">
            <w:pPr>
              <w:autoSpaceDE w:val="0"/>
              <w:autoSpaceDN w:val="0"/>
              <w:jc w:val="left"/>
              <w:rPr>
                <w:rFonts w:eastAsia="Calibri" w:cs="Arial"/>
                <w:color w:val="000000"/>
                <w:szCs w:val="18"/>
                <w:lang w:eastAsia="es-CO"/>
              </w:rPr>
            </w:pPr>
            <w:r w:rsidRPr="00B84823">
              <w:rPr>
                <w:rFonts w:eastAsia="Calibri" w:cs="Arial"/>
                <w:color w:val="000000"/>
                <w:szCs w:val="18"/>
                <w:lang w:eastAsia="es-CO"/>
              </w:rPr>
              <w:t>30</w:t>
            </w:r>
          </w:p>
        </w:tc>
      </w:tr>
      <w:tr w:rsidR="00E76E8D" w14:paraId="6B75DA99" w14:textId="77777777" w:rsidTr="00BB01F2">
        <w:tc>
          <w:tcPr>
            <w:tcW w:w="4395" w:type="dxa"/>
            <w:tcBorders>
              <w:bottom w:val="double" w:sz="4" w:space="0" w:color="9BBB59" w:themeColor="accent3"/>
            </w:tcBorders>
            <w:shd w:val="clear" w:color="auto" w:fill="FFFFFF"/>
          </w:tcPr>
          <w:p w14:paraId="561E4EF0" w14:textId="77777777" w:rsidR="00FA2587" w:rsidRPr="00B84823" w:rsidRDefault="005C79B1" w:rsidP="00FA2587">
            <w:pPr>
              <w:autoSpaceDE w:val="0"/>
              <w:autoSpaceDN w:val="0"/>
              <w:rPr>
                <w:rFonts w:eastAsia="Calibri" w:cs="Arial"/>
                <w:color w:val="000000"/>
                <w:szCs w:val="18"/>
                <w:lang w:eastAsia="es-CO"/>
              </w:rPr>
            </w:pPr>
            <w:r w:rsidRPr="00B84823">
              <w:rPr>
                <w:rFonts w:eastAsia="Calibri" w:cs="Arial"/>
                <w:color w:val="000000"/>
                <w:szCs w:val="18"/>
                <w:lang w:eastAsia="es-CO"/>
              </w:rPr>
              <w:t>Number of workers per shift</w:t>
            </w:r>
          </w:p>
        </w:tc>
        <w:tc>
          <w:tcPr>
            <w:tcW w:w="3118" w:type="dxa"/>
            <w:tcBorders>
              <w:bottom w:val="double" w:sz="4" w:space="0" w:color="9BBB59" w:themeColor="accent3"/>
            </w:tcBorders>
            <w:shd w:val="clear" w:color="auto" w:fill="FFFFFF"/>
          </w:tcPr>
          <w:p w14:paraId="63C72F7E" w14:textId="77777777" w:rsidR="00FA2587" w:rsidRPr="00B84823" w:rsidRDefault="005C79B1" w:rsidP="00FA2587">
            <w:pPr>
              <w:autoSpaceDE w:val="0"/>
              <w:autoSpaceDN w:val="0"/>
              <w:jc w:val="left"/>
              <w:rPr>
                <w:rFonts w:eastAsia="Calibri" w:cs="Arial"/>
                <w:color w:val="000000"/>
                <w:szCs w:val="18"/>
                <w:lang w:eastAsia="es-CO"/>
              </w:rPr>
            </w:pPr>
            <w:r w:rsidRPr="00B84823">
              <w:rPr>
                <w:rFonts w:eastAsia="Calibri" w:cs="Arial"/>
                <w:color w:val="000000"/>
                <w:szCs w:val="18"/>
                <w:lang w:eastAsia="es-CO"/>
              </w:rPr>
              <w:t>15</w:t>
            </w:r>
          </w:p>
        </w:tc>
      </w:tr>
    </w:tbl>
    <w:p w14:paraId="13D6ED98" w14:textId="77777777" w:rsidR="005F0DE6" w:rsidRPr="00170D14" w:rsidRDefault="005F0DE6" w:rsidP="005F0DE6">
      <w:pPr>
        <w:pStyle w:val="CETHeading1"/>
      </w:pPr>
      <w:bookmarkStart w:id="4" w:name="_Hlk93013420"/>
      <w:r w:rsidRPr="00170D14">
        <w:t>Results and discussion</w:t>
      </w:r>
    </w:p>
    <w:p w14:paraId="5302DDCC" w14:textId="3F50A08A" w:rsidR="00B84823" w:rsidRPr="00B84823" w:rsidRDefault="005C79B1" w:rsidP="00086B58">
      <w:pPr>
        <w:pStyle w:val="CETBodytext"/>
      </w:pPr>
      <w:r w:rsidRPr="00B84823">
        <w:t>Table 2 shows the results of the economic evaluation, such as costs of the land, pipes, contractor fees, construction expenses, among others. In addition, the price of the equipment necessary for the operation and assembly of the plant in northern Colombia</w:t>
      </w:r>
      <w:r w:rsidR="00A918A4">
        <w:t>.</w:t>
      </w:r>
      <w:r w:rsidR="006E544A">
        <w:t xml:space="preserve"> </w:t>
      </w:r>
      <w:r w:rsidR="006E544A" w:rsidRPr="006E544A">
        <w:t>The biochar obtained can be used to improve soil properties, according to Crowley (2012), adding biochar to the soil increases the cation exchange capacity and stabilizes the organic carbon present in soils that contain pyrolyzed carbon. While avocado oil is used in the cosmetic industry for personal care and the pharmaceutical industry for dermatological medical treatments (</w:t>
      </w:r>
      <w:r w:rsidR="006748C7">
        <w:t>Monsalve and Ramos</w:t>
      </w:r>
      <w:r w:rsidR="006E544A" w:rsidRPr="006E544A">
        <w:t>, 2019).</w:t>
      </w:r>
    </w:p>
    <w:bookmarkEnd w:id="4"/>
    <w:p w14:paraId="3003CCDA" w14:textId="3A3679DA" w:rsidR="00086B58" w:rsidRPr="00CF4F14" w:rsidRDefault="005C79B1" w:rsidP="00086B58">
      <w:pPr>
        <w:pStyle w:val="CETTabletitle"/>
        <w:rPr>
          <w:lang w:val="en-US"/>
        </w:rPr>
      </w:pPr>
      <w:r w:rsidRPr="00CF4F14">
        <w:rPr>
          <w:lang w:val="en-US"/>
        </w:rPr>
        <w:t>Tabl</w:t>
      </w:r>
      <w:r w:rsidR="00CF4F14">
        <w:rPr>
          <w:lang w:val="en-US"/>
        </w:rPr>
        <w:t>e</w:t>
      </w:r>
      <w:r w:rsidRPr="00CF4F14">
        <w:rPr>
          <w:lang w:val="en-US"/>
        </w:rPr>
        <w:t xml:space="preserve"> 2</w:t>
      </w:r>
      <w:r w:rsidR="00D65087">
        <w:rPr>
          <w:lang w:val="en-US"/>
        </w:rPr>
        <w:t>:</w:t>
      </w:r>
      <w:r w:rsidRPr="00CF4F14">
        <w:rPr>
          <w:lang w:val="en-US"/>
        </w:rPr>
        <w:t xml:space="preserve"> </w:t>
      </w:r>
      <w:r w:rsidR="00CF4F14" w:rsidRPr="00CF4F14">
        <w:rPr>
          <w:lang w:val="en-US"/>
        </w:rPr>
        <w:t>Total capital investment for</w:t>
      </w:r>
      <w:r w:rsidR="00075F8B">
        <w:rPr>
          <w:lang w:val="en-US"/>
        </w:rPr>
        <w:t xml:space="preserve"> </w:t>
      </w:r>
      <w:r w:rsidR="00CF4F14" w:rsidRPr="00CF4F14">
        <w:rPr>
          <w:lang w:val="en-US"/>
        </w:rPr>
        <w:t xml:space="preserve">oil and biochar production plant from </w:t>
      </w:r>
      <w:r w:rsidR="00E245DC">
        <w:rPr>
          <w:lang w:val="en-US"/>
        </w:rPr>
        <w:t xml:space="preserve">creole </w:t>
      </w:r>
      <w:r w:rsidR="00CF4F14" w:rsidRPr="00CF4F14">
        <w:rPr>
          <w:lang w:val="en-US"/>
        </w:rPr>
        <w:t>avocado</w:t>
      </w:r>
      <w:r w:rsidR="005F0DE6">
        <w:rPr>
          <w:lang w:val="en-US"/>
        </w:rPr>
        <w:t xml:space="preserve"> (by the authors)</w:t>
      </w:r>
    </w:p>
    <w:tbl>
      <w:tblPr>
        <w:tblW w:w="0" w:type="auto"/>
        <w:shd w:val="clear" w:color="auto" w:fill="FFFFFF"/>
        <w:tblCellMar>
          <w:left w:w="0" w:type="dxa"/>
          <w:right w:w="0" w:type="dxa"/>
        </w:tblCellMar>
        <w:tblLook w:val="00A0" w:firstRow="1" w:lastRow="0" w:firstColumn="1" w:lastColumn="0" w:noHBand="0" w:noVBand="0"/>
      </w:tblPr>
      <w:tblGrid>
        <w:gridCol w:w="3828"/>
        <w:gridCol w:w="2693"/>
      </w:tblGrid>
      <w:tr w:rsidR="00E76E8D" w14:paraId="4FFE8D07" w14:textId="77777777" w:rsidTr="00BB01F2">
        <w:tc>
          <w:tcPr>
            <w:tcW w:w="3828" w:type="dxa"/>
            <w:tcBorders>
              <w:top w:val="double" w:sz="4" w:space="0" w:color="9BBB59" w:themeColor="accent3"/>
              <w:bottom w:val="double" w:sz="4" w:space="0" w:color="9BBB59" w:themeColor="accent3"/>
            </w:tcBorders>
            <w:shd w:val="clear" w:color="auto" w:fill="FFFFFF"/>
            <w:vAlign w:val="bottom"/>
          </w:tcPr>
          <w:p w14:paraId="1CD696B2" w14:textId="77777777" w:rsidR="00086B58" w:rsidRPr="00FD1E91" w:rsidRDefault="005C79B1" w:rsidP="00086B58">
            <w:pPr>
              <w:pStyle w:val="CETBodytext"/>
              <w:rPr>
                <w:rFonts w:cs="Arial"/>
                <w:szCs w:val="18"/>
                <w:highlight w:val="yellow"/>
              </w:rPr>
            </w:pPr>
            <w:r w:rsidRPr="00086B58">
              <w:rPr>
                <w:rFonts w:cs="Arial"/>
                <w:b/>
                <w:bCs/>
                <w:color w:val="000000"/>
                <w:szCs w:val="18"/>
                <w:lang w:eastAsia="es-CO"/>
              </w:rPr>
              <w:t>Costs of capital investment</w:t>
            </w:r>
          </w:p>
        </w:tc>
        <w:tc>
          <w:tcPr>
            <w:tcW w:w="2693" w:type="dxa"/>
            <w:tcBorders>
              <w:top w:val="double" w:sz="4" w:space="0" w:color="9BBB59" w:themeColor="accent3"/>
              <w:bottom w:val="double" w:sz="4" w:space="0" w:color="9BBB59" w:themeColor="accent3"/>
            </w:tcBorders>
            <w:shd w:val="clear" w:color="auto" w:fill="FFFFFF"/>
          </w:tcPr>
          <w:p w14:paraId="6F5FF9C9" w14:textId="77777777" w:rsidR="00086B58" w:rsidRPr="00FD1E91" w:rsidRDefault="005C79B1" w:rsidP="00086B58">
            <w:pPr>
              <w:pStyle w:val="CETBodytext"/>
              <w:rPr>
                <w:rFonts w:cs="Arial"/>
                <w:szCs w:val="18"/>
                <w:highlight w:val="yellow"/>
                <w:lang w:val="en-GB"/>
              </w:rPr>
            </w:pPr>
            <w:r w:rsidRPr="00FD1E91">
              <w:rPr>
                <w:rFonts w:cs="Arial"/>
                <w:b/>
                <w:bCs/>
                <w:color w:val="000000"/>
                <w:szCs w:val="18"/>
                <w:lang w:val="es-CO" w:eastAsia="es-CO"/>
              </w:rPr>
              <w:t>Total (US$)</w:t>
            </w:r>
          </w:p>
        </w:tc>
      </w:tr>
      <w:tr w:rsidR="00E76E8D" w14:paraId="5295FF4A" w14:textId="77777777" w:rsidTr="00BB01F2">
        <w:tc>
          <w:tcPr>
            <w:tcW w:w="3828" w:type="dxa"/>
            <w:tcBorders>
              <w:top w:val="double" w:sz="4" w:space="0" w:color="9BBB59" w:themeColor="accent3"/>
            </w:tcBorders>
            <w:shd w:val="clear" w:color="auto" w:fill="FFFFFF"/>
            <w:vAlign w:val="bottom"/>
          </w:tcPr>
          <w:p w14:paraId="73752CDE" w14:textId="77777777" w:rsidR="00086B58" w:rsidRPr="00FD1E91" w:rsidRDefault="005C79B1" w:rsidP="00086B58">
            <w:pPr>
              <w:pStyle w:val="CETBodytext"/>
              <w:rPr>
                <w:rFonts w:cs="Arial"/>
                <w:szCs w:val="18"/>
              </w:rPr>
            </w:pPr>
            <w:r w:rsidRPr="00086B58">
              <w:rPr>
                <w:rFonts w:cs="Arial"/>
                <w:color w:val="000000"/>
                <w:szCs w:val="18"/>
                <w:lang w:eastAsia="es-CO"/>
              </w:rPr>
              <w:t>Delivered purchased equipment cost</w:t>
            </w:r>
          </w:p>
        </w:tc>
        <w:tc>
          <w:tcPr>
            <w:tcW w:w="2693" w:type="dxa"/>
            <w:tcBorders>
              <w:top w:val="double" w:sz="4" w:space="0" w:color="9BBB59" w:themeColor="accent3"/>
            </w:tcBorders>
            <w:shd w:val="clear" w:color="auto" w:fill="FFFFFF"/>
            <w:vAlign w:val="bottom"/>
          </w:tcPr>
          <w:p w14:paraId="71472CFE" w14:textId="77777777" w:rsidR="00086B58" w:rsidRPr="00FD1E91" w:rsidRDefault="005C79B1" w:rsidP="00086B58">
            <w:pPr>
              <w:pStyle w:val="CETBodytext"/>
              <w:rPr>
                <w:rFonts w:cs="Arial"/>
                <w:szCs w:val="18"/>
                <w:lang w:val="en-GB"/>
              </w:rPr>
            </w:pPr>
            <w:r w:rsidRPr="00086B58">
              <w:rPr>
                <w:rFonts w:cs="Arial"/>
                <w:color w:val="000000"/>
                <w:szCs w:val="18"/>
                <w:lang w:val="es-CO" w:eastAsia="es-CO"/>
              </w:rPr>
              <w:t>1</w:t>
            </w:r>
            <w:r w:rsidR="00FD1E91">
              <w:rPr>
                <w:rFonts w:cs="Arial"/>
                <w:color w:val="000000"/>
                <w:szCs w:val="18"/>
                <w:lang w:val="es-CO" w:eastAsia="es-CO"/>
              </w:rPr>
              <w:t>,</w:t>
            </w:r>
            <w:r w:rsidRPr="00086B58">
              <w:rPr>
                <w:rFonts w:cs="Arial"/>
                <w:color w:val="000000"/>
                <w:szCs w:val="18"/>
                <w:lang w:val="es-CO" w:eastAsia="es-CO"/>
              </w:rPr>
              <w:t>106</w:t>
            </w:r>
            <w:r w:rsidR="00FD1E91">
              <w:rPr>
                <w:rFonts w:cs="Arial"/>
                <w:color w:val="000000"/>
                <w:szCs w:val="18"/>
                <w:lang w:val="es-CO" w:eastAsia="es-CO"/>
              </w:rPr>
              <w:t>,</w:t>
            </w:r>
            <w:r w:rsidRPr="00086B58">
              <w:rPr>
                <w:rFonts w:cs="Arial"/>
                <w:color w:val="000000"/>
                <w:szCs w:val="18"/>
                <w:lang w:val="es-CO" w:eastAsia="es-CO"/>
              </w:rPr>
              <w:t>870</w:t>
            </w:r>
            <w:r w:rsidR="00FD1E91">
              <w:rPr>
                <w:rFonts w:cs="Arial"/>
                <w:color w:val="000000"/>
                <w:szCs w:val="18"/>
                <w:lang w:val="es-CO" w:eastAsia="es-CO"/>
              </w:rPr>
              <w:t>.</w:t>
            </w:r>
            <w:r w:rsidRPr="00086B58">
              <w:rPr>
                <w:rFonts w:cs="Arial"/>
                <w:color w:val="000000"/>
                <w:szCs w:val="18"/>
                <w:lang w:val="es-CO" w:eastAsia="es-CO"/>
              </w:rPr>
              <w:t>60</w:t>
            </w:r>
          </w:p>
        </w:tc>
      </w:tr>
      <w:tr w:rsidR="00E76E8D" w14:paraId="57381030" w14:textId="77777777" w:rsidTr="00FD1E91">
        <w:tc>
          <w:tcPr>
            <w:tcW w:w="3828" w:type="dxa"/>
            <w:shd w:val="clear" w:color="auto" w:fill="FFFFFF"/>
            <w:vAlign w:val="bottom"/>
          </w:tcPr>
          <w:p w14:paraId="5F6F8CD4"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Purchased equipment (installation)</w:t>
            </w:r>
          </w:p>
        </w:tc>
        <w:tc>
          <w:tcPr>
            <w:tcW w:w="2693" w:type="dxa"/>
            <w:shd w:val="clear" w:color="auto" w:fill="FFFFFF"/>
            <w:vAlign w:val="bottom"/>
          </w:tcPr>
          <w:p w14:paraId="557A7DC7"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221</w:t>
            </w:r>
            <w:r w:rsidR="00FD1E91">
              <w:rPr>
                <w:rFonts w:cs="Arial"/>
                <w:color w:val="000000"/>
                <w:szCs w:val="18"/>
                <w:lang w:val="es-CO" w:eastAsia="es-CO"/>
              </w:rPr>
              <w:t>,</w:t>
            </w:r>
            <w:r w:rsidRPr="00086B58">
              <w:rPr>
                <w:rFonts w:cs="Arial"/>
                <w:color w:val="000000"/>
                <w:szCs w:val="18"/>
                <w:lang w:val="es-CO" w:eastAsia="es-CO"/>
              </w:rPr>
              <w:t>374</w:t>
            </w:r>
            <w:r w:rsidR="00FD1E91">
              <w:rPr>
                <w:rFonts w:cs="Arial"/>
                <w:color w:val="000000"/>
                <w:szCs w:val="18"/>
                <w:lang w:val="es-CO" w:eastAsia="es-CO"/>
              </w:rPr>
              <w:t>.</w:t>
            </w:r>
            <w:r w:rsidRPr="00086B58">
              <w:rPr>
                <w:rFonts w:cs="Arial"/>
                <w:color w:val="000000"/>
                <w:szCs w:val="18"/>
                <w:lang w:val="es-CO" w:eastAsia="es-CO"/>
              </w:rPr>
              <w:t>12</w:t>
            </w:r>
          </w:p>
        </w:tc>
      </w:tr>
      <w:tr w:rsidR="00E76E8D" w14:paraId="042187E3" w14:textId="77777777" w:rsidTr="00FD1E91">
        <w:tc>
          <w:tcPr>
            <w:tcW w:w="3828" w:type="dxa"/>
            <w:shd w:val="clear" w:color="auto" w:fill="FFFFFF"/>
            <w:vAlign w:val="bottom"/>
          </w:tcPr>
          <w:p w14:paraId="1CD1D390"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Instrumentation (installed)</w:t>
            </w:r>
          </w:p>
        </w:tc>
        <w:tc>
          <w:tcPr>
            <w:tcW w:w="2693" w:type="dxa"/>
            <w:shd w:val="clear" w:color="auto" w:fill="FFFFFF"/>
            <w:vAlign w:val="bottom"/>
          </w:tcPr>
          <w:p w14:paraId="38ADF1C9"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88</w:t>
            </w:r>
            <w:r w:rsidR="00FD1E91">
              <w:rPr>
                <w:rFonts w:cs="Arial"/>
                <w:color w:val="000000"/>
                <w:szCs w:val="18"/>
                <w:lang w:val="es-CO" w:eastAsia="es-CO"/>
              </w:rPr>
              <w:t>,</w:t>
            </w:r>
            <w:r w:rsidRPr="00086B58">
              <w:rPr>
                <w:rFonts w:cs="Arial"/>
                <w:color w:val="000000"/>
                <w:szCs w:val="18"/>
                <w:lang w:val="es-CO" w:eastAsia="es-CO"/>
              </w:rPr>
              <w:t>549</w:t>
            </w:r>
            <w:r w:rsidR="00FD1E91">
              <w:rPr>
                <w:rFonts w:cs="Arial"/>
                <w:color w:val="000000"/>
                <w:szCs w:val="18"/>
                <w:lang w:val="es-CO" w:eastAsia="es-CO"/>
              </w:rPr>
              <w:t>.</w:t>
            </w:r>
            <w:r w:rsidRPr="00086B58">
              <w:rPr>
                <w:rFonts w:cs="Arial"/>
                <w:color w:val="000000"/>
                <w:szCs w:val="18"/>
                <w:lang w:val="es-CO" w:eastAsia="es-CO"/>
              </w:rPr>
              <w:t>65</w:t>
            </w:r>
          </w:p>
        </w:tc>
      </w:tr>
      <w:tr w:rsidR="00E76E8D" w14:paraId="18C92E60" w14:textId="77777777" w:rsidTr="00FD1E91">
        <w:tc>
          <w:tcPr>
            <w:tcW w:w="3828" w:type="dxa"/>
            <w:shd w:val="clear" w:color="auto" w:fill="FFFFFF"/>
            <w:vAlign w:val="bottom"/>
          </w:tcPr>
          <w:p w14:paraId="1566B71B"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Piping (installed)</w:t>
            </w:r>
          </w:p>
        </w:tc>
        <w:tc>
          <w:tcPr>
            <w:tcW w:w="2693" w:type="dxa"/>
            <w:shd w:val="clear" w:color="auto" w:fill="FFFFFF"/>
            <w:vAlign w:val="bottom"/>
          </w:tcPr>
          <w:p w14:paraId="208B3DA9"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221</w:t>
            </w:r>
            <w:r w:rsidR="00FD1E91">
              <w:rPr>
                <w:rFonts w:cs="Arial"/>
                <w:color w:val="000000"/>
                <w:szCs w:val="18"/>
                <w:lang w:val="es-CO" w:eastAsia="es-CO"/>
              </w:rPr>
              <w:t>,</w:t>
            </w:r>
            <w:r w:rsidRPr="00086B58">
              <w:rPr>
                <w:rFonts w:cs="Arial"/>
                <w:color w:val="000000"/>
                <w:szCs w:val="18"/>
                <w:lang w:val="es-CO" w:eastAsia="es-CO"/>
              </w:rPr>
              <w:t>374</w:t>
            </w:r>
            <w:r w:rsidR="00FD1E91">
              <w:rPr>
                <w:rFonts w:cs="Arial"/>
                <w:color w:val="000000"/>
                <w:szCs w:val="18"/>
                <w:lang w:val="es-CO" w:eastAsia="es-CO"/>
              </w:rPr>
              <w:t>.</w:t>
            </w:r>
            <w:r w:rsidRPr="00086B58">
              <w:rPr>
                <w:rFonts w:cs="Arial"/>
                <w:color w:val="000000"/>
                <w:szCs w:val="18"/>
                <w:lang w:val="es-CO" w:eastAsia="es-CO"/>
              </w:rPr>
              <w:t>12</w:t>
            </w:r>
          </w:p>
        </w:tc>
      </w:tr>
      <w:tr w:rsidR="00E76E8D" w14:paraId="26581EFA" w14:textId="77777777" w:rsidTr="00FD1E91">
        <w:tc>
          <w:tcPr>
            <w:tcW w:w="3828" w:type="dxa"/>
            <w:shd w:val="clear" w:color="auto" w:fill="FFFFFF"/>
            <w:vAlign w:val="bottom"/>
          </w:tcPr>
          <w:p w14:paraId="7904D244"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Electrical (installed)</w:t>
            </w:r>
          </w:p>
        </w:tc>
        <w:tc>
          <w:tcPr>
            <w:tcW w:w="2693" w:type="dxa"/>
            <w:shd w:val="clear" w:color="auto" w:fill="FFFFFF"/>
            <w:vAlign w:val="bottom"/>
          </w:tcPr>
          <w:p w14:paraId="49038026"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143</w:t>
            </w:r>
            <w:r w:rsidR="00FD1E91">
              <w:rPr>
                <w:rFonts w:cs="Arial"/>
                <w:color w:val="000000"/>
                <w:szCs w:val="18"/>
                <w:lang w:val="es-CO" w:eastAsia="es-CO"/>
              </w:rPr>
              <w:t>,</w:t>
            </w:r>
            <w:r w:rsidRPr="00086B58">
              <w:rPr>
                <w:rFonts w:cs="Arial"/>
                <w:color w:val="000000"/>
                <w:szCs w:val="18"/>
                <w:lang w:val="es-CO" w:eastAsia="es-CO"/>
              </w:rPr>
              <w:t>893</w:t>
            </w:r>
            <w:r w:rsidR="00FD1E91">
              <w:rPr>
                <w:rFonts w:cs="Arial"/>
                <w:color w:val="000000"/>
                <w:szCs w:val="18"/>
                <w:lang w:val="es-CO" w:eastAsia="es-CO"/>
              </w:rPr>
              <w:t>.</w:t>
            </w:r>
            <w:r w:rsidRPr="00086B58">
              <w:rPr>
                <w:rFonts w:cs="Arial"/>
                <w:color w:val="000000"/>
                <w:szCs w:val="18"/>
                <w:lang w:val="es-CO" w:eastAsia="es-CO"/>
              </w:rPr>
              <w:t>18</w:t>
            </w:r>
          </w:p>
        </w:tc>
      </w:tr>
      <w:tr w:rsidR="00E76E8D" w14:paraId="06E63224" w14:textId="77777777" w:rsidTr="00FD1E91">
        <w:tc>
          <w:tcPr>
            <w:tcW w:w="3828" w:type="dxa"/>
            <w:shd w:val="clear" w:color="auto" w:fill="FFFFFF"/>
            <w:vAlign w:val="bottom"/>
          </w:tcPr>
          <w:p w14:paraId="1DA92940"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Buildings (including services)</w:t>
            </w:r>
          </w:p>
        </w:tc>
        <w:tc>
          <w:tcPr>
            <w:tcW w:w="2693" w:type="dxa"/>
            <w:shd w:val="clear" w:color="auto" w:fill="FFFFFF"/>
            <w:vAlign w:val="bottom"/>
          </w:tcPr>
          <w:p w14:paraId="7DA03A36"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442</w:t>
            </w:r>
            <w:r w:rsidR="00FD1E91">
              <w:rPr>
                <w:rFonts w:cs="Arial"/>
                <w:color w:val="000000"/>
                <w:szCs w:val="18"/>
                <w:lang w:val="es-CO" w:eastAsia="es-CO"/>
              </w:rPr>
              <w:t>,</w:t>
            </w:r>
            <w:r w:rsidRPr="00086B58">
              <w:rPr>
                <w:rFonts w:cs="Arial"/>
                <w:color w:val="000000"/>
                <w:szCs w:val="18"/>
                <w:lang w:val="es-CO" w:eastAsia="es-CO"/>
              </w:rPr>
              <w:t>748</w:t>
            </w:r>
            <w:r w:rsidR="00FD1E91">
              <w:rPr>
                <w:rFonts w:cs="Arial"/>
                <w:color w:val="000000"/>
                <w:szCs w:val="18"/>
                <w:lang w:val="es-CO" w:eastAsia="es-CO"/>
              </w:rPr>
              <w:t>.</w:t>
            </w:r>
            <w:r w:rsidRPr="00086B58">
              <w:rPr>
                <w:rFonts w:cs="Arial"/>
                <w:color w:val="000000"/>
                <w:szCs w:val="18"/>
                <w:lang w:val="es-CO" w:eastAsia="es-CO"/>
              </w:rPr>
              <w:t>24</w:t>
            </w:r>
          </w:p>
        </w:tc>
      </w:tr>
      <w:tr w:rsidR="00E76E8D" w14:paraId="6411B6FD" w14:textId="77777777" w:rsidTr="00FD1E91">
        <w:tc>
          <w:tcPr>
            <w:tcW w:w="3828" w:type="dxa"/>
            <w:shd w:val="clear" w:color="auto" w:fill="FFFFFF"/>
            <w:vAlign w:val="bottom"/>
          </w:tcPr>
          <w:p w14:paraId="481E40C1"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Services facilities (installed)</w:t>
            </w:r>
          </w:p>
        </w:tc>
        <w:tc>
          <w:tcPr>
            <w:tcW w:w="2693" w:type="dxa"/>
            <w:shd w:val="clear" w:color="auto" w:fill="FFFFFF"/>
            <w:vAlign w:val="bottom"/>
          </w:tcPr>
          <w:p w14:paraId="4BA7165C"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332</w:t>
            </w:r>
            <w:r w:rsidR="00FD1E91">
              <w:rPr>
                <w:rFonts w:cs="Arial"/>
                <w:color w:val="000000"/>
                <w:szCs w:val="18"/>
                <w:lang w:val="es-CO" w:eastAsia="es-CO"/>
              </w:rPr>
              <w:t>,</w:t>
            </w:r>
            <w:r w:rsidRPr="00086B58">
              <w:rPr>
                <w:rFonts w:cs="Arial"/>
                <w:color w:val="000000"/>
                <w:szCs w:val="18"/>
                <w:lang w:val="es-CO" w:eastAsia="es-CO"/>
              </w:rPr>
              <w:t>061</w:t>
            </w:r>
            <w:r w:rsidR="00FD1E91">
              <w:rPr>
                <w:rFonts w:cs="Arial"/>
                <w:color w:val="000000"/>
                <w:szCs w:val="18"/>
                <w:lang w:val="es-CO" w:eastAsia="es-CO"/>
              </w:rPr>
              <w:t>.</w:t>
            </w:r>
            <w:r w:rsidRPr="00086B58">
              <w:rPr>
                <w:rFonts w:cs="Arial"/>
                <w:color w:val="000000"/>
                <w:szCs w:val="18"/>
                <w:lang w:val="es-CO" w:eastAsia="es-CO"/>
              </w:rPr>
              <w:t>18</w:t>
            </w:r>
          </w:p>
        </w:tc>
      </w:tr>
      <w:tr w:rsidR="00E76E8D" w14:paraId="5B2D94B6" w14:textId="77777777" w:rsidTr="00BB01F2">
        <w:tc>
          <w:tcPr>
            <w:tcW w:w="3828" w:type="dxa"/>
            <w:tcBorders>
              <w:bottom w:val="single" w:sz="4" w:space="0" w:color="9BBB59" w:themeColor="accent3"/>
            </w:tcBorders>
            <w:shd w:val="clear" w:color="auto" w:fill="FFFFFF"/>
            <w:vAlign w:val="bottom"/>
          </w:tcPr>
          <w:p w14:paraId="16A5F383" w14:textId="77777777" w:rsidR="00086B58" w:rsidRPr="00BB01F2" w:rsidRDefault="005C79B1" w:rsidP="00086B58">
            <w:pPr>
              <w:pStyle w:val="CETBodytext"/>
              <w:rPr>
                <w:rFonts w:eastAsia="Calibri" w:cs="Arial"/>
                <w:b/>
                <w:bCs/>
                <w:color w:val="000000"/>
                <w:szCs w:val="18"/>
                <w:lang w:eastAsia="es-CO"/>
              </w:rPr>
            </w:pPr>
            <w:r w:rsidRPr="00086B58">
              <w:rPr>
                <w:rFonts w:cs="Arial"/>
                <w:b/>
                <w:bCs/>
                <w:color w:val="000000"/>
                <w:szCs w:val="18"/>
                <w:lang w:eastAsia="es-CO"/>
              </w:rPr>
              <w:t>Total DFCI</w:t>
            </w:r>
          </w:p>
        </w:tc>
        <w:tc>
          <w:tcPr>
            <w:tcW w:w="2693" w:type="dxa"/>
            <w:tcBorders>
              <w:bottom w:val="single" w:sz="4" w:space="0" w:color="9BBB59" w:themeColor="accent3"/>
            </w:tcBorders>
            <w:shd w:val="clear" w:color="auto" w:fill="FFFFFF"/>
            <w:vAlign w:val="bottom"/>
          </w:tcPr>
          <w:p w14:paraId="777B95C5" w14:textId="77777777" w:rsidR="00086B58" w:rsidRPr="00BB01F2" w:rsidRDefault="005C79B1" w:rsidP="00086B58">
            <w:pPr>
              <w:pStyle w:val="CETBodytext"/>
              <w:rPr>
                <w:rFonts w:eastAsia="Calibri" w:cs="Arial"/>
                <w:color w:val="000000"/>
                <w:szCs w:val="18"/>
                <w:lang w:eastAsia="es-CO"/>
              </w:rPr>
            </w:pPr>
            <w:r w:rsidRPr="00086B58">
              <w:rPr>
                <w:rFonts w:cs="Arial"/>
                <w:color w:val="000000"/>
                <w:szCs w:val="18"/>
                <w:lang w:val="es-CO" w:eastAsia="es-CO"/>
              </w:rPr>
              <w:t>2</w:t>
            </w:r>
            <w:r w:rsidR="00FD1E91" w:rsidRPr="00BB01F2">
              <w:rPr>
                <w:rFonts w:cs="Arial"/>
                <w:color w:val="000000"/>
                <w:szCs w:val="18"/>
                <w:lang w:val="es-CO" w:eastAsia="es-CO"/>
              </w:rPr>
              <w:t>,</w:t>
            </w:r>
            <w:r w:rsidRPr="00086B58">
              <w:rPr>
                <w:rFonts w:cs="Arial"/>
                <w:color w:val="000000"/>
                <w:szCs w:val="18"/>
                <w:lang w:val="es-CO" w:eastAsia="es-CO"/>
              </w:rPr>
              <w:t>556</w:t>
            </w:r>
            <w:r w:rsidR="00FD1E91" w:rsidRPr="00BB01F2">
              <w:rPr>
                <w:rFonts w:cs="Arial"/>
                <w:color w:val="000000"/>
                <w:szCs w:val="18"/>
                <w:lang w:val="es-CO" w:eastAsia="es-CO"/>
              </w:rPr>
              <w:t>,</w:t>
            </w:r>
            <w:r w:rsidRPr="00086B58">
              <w:rPr>
                <w:rFonts w:cs="Arial"/>
                <w:color w:val="000000"/>
                <w:szCs w:val="18"/>
                <w:lang w:val="es-CO" w:eastAsia="es-CO"/>
              </w:rPr>
              <w:t>871</w:t>
            </w:r>
            <w:r w:rsidR="00FD1E91" w:rsidRPr="00BB01F2">
              <w:rPr>
                <w:rFonts w:cs="Arial"/>
                <w:color w:val="000000"/>
                <w:szCs w:val="18"/>
                <w:lang w:val="es-CO" w:eastAsia="es-CO"/>
              </w:rPr>
              <w:t>.</w:t>
            </w:r>
            <w:r w:rsidRPr="00086B58">
              <w:rPr>
                <w:rFonts w:cs="Arial"/>
                <w:color w:val="000000"/>
                <w:szCs w:val="18"/>
                <w:lang w:val="es-CO" w:eastAsia="es-CO"/>
              </w:rPr>
              <w:t>09</w:t>
            </w:r>
          </w:p>
        </w:tc>
      </w:tr>
      <w:tr w:rsidR="00E76E8D" w14:paraId="3A6FB883" w14:textId="77777777" w:rsidTr="00BB01F2">
        <w:tc>
          <w:tcPr>
            <w:tcW w:w="3828" w:type="dxa"/>
            <w:tcBorders>
              <w:top w:val="single" w:sz="4" w:space="0" w:color="9BBB59" w:themeColor="accent3"/>
            </w:tcBorders>
            <w:shd w:val="clear" w:color="auto" w:fill="FFFFFF"/>
            <w:vAlign w:val="bottom"/>
          </w:tcPr>
          <w:p w14:paraId="7EAEE48D"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Land</w:t>
            </w:r>
          </w:p>
        </w:tc>
        <w:tc>
          <w:tcPr>
            <w:tcW w:w="2693" w:type="dxa"/>
            <w:tcBorders>
              <w:top w:val="single" w:sz="4" w:space="0" w:color="9BBB59" w:themeColor="accent3"/>
            </w:tcBorders>
            <w:shd w:val="clear" w:color="auto" w:fill="FFFFFF"/>
            <w:vAlign w:val="bottom"/>
          </w:tcPr>
          <w:p w14:paraId="1682FEA5"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110</w:t>
            </w:r>
            <w:r w:rsidR="00FD1E91">
              <w:rPr>
                <w:rFonts w:cs="Arial"/>
                <w:color w:val="000000"/>
                <w:szCs w:val="18"/>
                <w:lang w:val="es-CO" w:eastAsia="es-CO"/>
              </w:rPr>
              <w:t>,</w:t>
            </w:r>
            <w:r w:rsidRPr="00086B58">
              <w:rPr>
                <w:rFonts w:cs="Arial"/>
                <w:color w:val="000000"/>
                <w:szCs w:val="18"/>
                <w:lang w:val="es-CO" w:eastAsia="es-CO"/>
              </w:rPr>
              <w:t>687</w:t>
            </w:r>
            <w:r w:rsidR="00FD1E91">
              <w:rPr>
                <w:rFonts w:cs="Arial"/>
                <w:color w:val="000000"/>
                <w:szCs w:val="18"/>
                <w:lang w:val="es-CO" w:eastAsia="es-CO"/>
              </w:rPr>
              <w:t>.</w:t>
            </w:r>
            <w:r w:rsidRPr="00086B58">
              <w:rPr>
                <w:rFonts w:cs="Arial"/>
                <w:color w:val="000000"/>
                <w:szCs w:val="18"/>
                <w:lang w:val="es-CO" w:eastAsia="es-CO"/>
              </w:rPr>
              <w:t>06</w:t>
            </w:r>
          </w:p>
        </w:tc>
      </w:tr>
      <w:tr w:rsidR="00E76E8D" w14:paraId="03FDA28F" w14:textId="77777777" w:rsidTr="00FD1E91">
        <w:tc>
          <w:tcPr>
            <w:tcW w:w="3828" w:type="dxa"/>
            <w:shd w:val="clear" w:color="auto" w:fill="FFFFFF"/>
            <w:vAlign w:val="bottom"/>
          </w:tcPr>
          <w:p w14:paraId="6B0658BF"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Yard improvements </w:t>
            </w:r>
          </w:p>
        </w:tc>
        <w:tc>
          <w:tcPr>
            <w:tcW w:w="2693" w:type="dxa"/>
            <w:shd w:val="clear" w:color="auto" w:fill="FFFFFF"/>
            <w:vAlign w:val="bottom"/>
          </w:tcPr>
          <w:p w14:paraId="6D878B73"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442</w:t>
            </w:r>
            <w:r w:rsidR="00FD1E91">
              <w:rPr>
                <w:rFonts w:cs="Arial"/>
                <w:color w:val="000000"/>
                <w:szCs w:val="18"/>
                <w:lang w:val="es-CO" w:eastAsia="es-CO"/>
              </w:rPr>
              <w:t>,</w:t>
            </w:r>
            <w:r w:rsidRPr="00086B58">
              <w:rPr>
                <w:rFonts w:cs="Arial"/>
                <w:color w:val="000000"/>
                <w:szCs w:val="18"/>
                <w:lang w:val="es-CO" w:eastAsia="es-CO"/>
              </w:rPr>
              <w:t>748</w:t>
            </w:r>
            <w:r w:rsidR="00FD1E91">
              <w:rPr>
                <w:rFonts w:cs="Arial"/>
                <w:color w:val="000000"/>
                <w:szCs w:val="18"/>
                <w:lang w:val="es-CO" w:eastAsia="es-CO"/>
              </w:rPr>
              <w:t>.</w:t>
            </w:r>
            <w:r w:rsidRPr="00086B58">
              <w:rPr>
                <w:rFonts w:cs="Arial"/>
                <w:color w:val="000000"/>
                <w:szCs w:val="18"/>
                <w:lang w:val="es-CO" w:eastAsia="es-CO"/>
              </w:rPr>
              <w:t>24</w:t>
            </w:r>
          </w:p>
        </w:tc>
      </w:tr>
      <w:tr w:rsidR="00E76E8D" w14:paraId="402F424B" w14:textId="77777777" w:rsidTr="00FD1E91">
        <w:tc>
          <w:tcPr>
            <w:tcW w:w="3828" w:type="dxa"/>
            <w:shd w:val="clear" w:color="auto" w:fill="FFFFFF"/>
            <w:vAlign w:val="bottom"/>
          </w:tcPr>
          <w:p w14:paraId="3451EB17"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Engineering and supervision</w:t>
            </w:r>
          </w:p>
        </w:tc>
        <w:tc>
          <w:tcPr>
            <w:tcW w:w="2693" w:type="dxa"/>
            <w:shd w:val="clear" w:color="auto" w:fill="FFFFFF"/>
            <w:vAlign w:val="bottom"/>
          </w:tcPr>
          <w:p w14:paraId="45B4B276"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354</w:t>
            </w:r>
            <w:r w:rsidR="00FD1E91">
              <w:rPr>
                <w:rFonts w:cs="Arial"/>
                <w:color w:val="000000"/>
                <w:szCs w:val="18"/>
                <w:lang w:val="es-CO" w:eastAsia="es-CO"/>
              </w:rPr>
              <w:t>,</w:t>
            </w:r>
            <w:r w:rsidRPr="00086B58">
              <w:rPr>
                <w:rFonts w:cs="Arial"/>
                <w:color w:val="000000"/>
                <w:szCs w:val="18"/>
                <w:lang w:val="es-CO" w:eastAsia="es-CO"/>
              </w:rPr>
              <w:t>198</w:t>
            </w:r>
            <w:r w:rsidR="00FD1E91">
              <w:rPr>
                <w:rFonts w:cs="Arial"/>
                <w:color w:val="000000"/>
                <w:szCs w:val="18"/>
                <w:lang w:val="es-CO" w:eastAsia="es-CO"/>
              </w:rPr>
              <w:t>.</w:t>
            </w:r>
            <w:r w:rsidRPr="00086B58">
              <w:rPr>
                <w:rFonts w:cs="Arial"/>
                <w:color w:val="000000"/>
                <w:szCs w:val="18"/>
                <w:lang w:val="es-CO" w:eastAsia="es-CO"/>
              </w:rPr>
              <w:t>59</w:t>
            </w:r>
          </w:p>
        </w:tc>
      </w:tr>
      <w:tr w:rsidR="00E76E8D" w14:paraId="6BE6CB62" w14:textId="77777777" w:rsidTr="00FD1E91">
        <w:tc>
          <w:tcPr>
            <w:tcW w:w="3828" w:type="dxa"/>
            <w:shd w:val="clear" w:color="auto" w:fill="FFFFFF"/>
            <w:vAlign w:val="bottom"/>
          </w:tcPr>
          <w:p w14:paraId="700F0086"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eastAsia="es-CO"/>
              </w:rPr>
              <w:t>Construction expenses</w:t>
            </w:r>
          </w:p>
        </w:tc>
        <w:tc>
          <w:tcPr>
            <w:tcW w:w="2693" w:type="dxa"/>
            <w:shd w:val="clear" w:color="auto" w:fill="FFFFFF"/>
            <w:vAlign w:val="bottom"/>
          </w:tcPr>
          <w:p w14:paraId="0A940740" w14:textId="77777777" w:rsidR="00086B58" w:rsidRPr="00FD1E91" w:rsidRDefault="005C79B1" w:rsidP="00086B58">
            <w:pPr>
              <w:pStyle w:val="CETBodytext"/>
              <w:rPr>
                <w:rFonts w:eastAsia="Calibri" w:cs="Arial"/>
                <w:color w:val="000000"/>
                <w:szCs w:val="18"/>
                <w:lang w:eastAsia="es-CO"/>
              </w:rPr>
            </w:pPr>
            <w:r w:rsidRPr="00086B58">
              <w:rPr>
                <w:rFonts w:cs="Arial"/>
                <w:color w:val="000000"/>
                <w:szCs w:val="18"/>
                <w:lang w:val="es-CO" w:eastAsia="es-CO"/>
              </w:rPr>
              <w:t>376</w:t>
            </w:r>
            <w:r w:rsidR="00FD1E91">
              <w:rPr>
                <w:rFonts w:cs="Arial"/>
                <w:color w:val="000000"/>
                <w:szCs w:val="18"/>
                <w:lang w:val="es-CO" w:eastAsia="es-CO"/>
              </w:rPr>
              <w:t>,</w:t>
            </w:r>
            <w:r w:rsidRPr="00086B58">
              <w:rPr>
                <w:rFonts w:cs="Arial"/>
                <w:color w:val="000000"/>
                <w:szCs w:val="18"/>
                <w:lang w:val="es-CO" w:eastAsia="es-CO"/>
              </w:rPr>
              <w:t>336</w:t>
            </w:r>
            <w:r w:rsidR="00FD1E91">
              <w:rPr>
                <w:rFonts w:cs="Arial"/>
                <w:color w:val="000000"/>
                <w:szCs w:val="18"/>
                <w:lang w:val="es-CO" w:eastAsia="es-CO"/>
              </w:rPr>
              <w:t>.</w:t>
            </w:r>
            <w:r w:rsidRPr="00086B58">
              <w:rPr>
                <w:rFonts w:cs="Arial"/>
                <w:color w:val="000000"/>
                <w:szCs w:val="18"/>
                <w:lang w:val="es-CO" w:eastAsia="es-CO"/>
              </w:rPr>
              <w:t>00</w:t>
            </w:r>
          </w:p>
        </w:tc>
      </w:tr>
      <w:tr w:rsidR="00E76E8D" w14:paraId="61D37C40" w14:textId="77777777" w:rsidTr="00FD1E91">
        <w:tc>
          <w:tcPr>
            <w:tcW w:w="3828" w:type="dxa"/>
            <w:shd w:val="clear" w:color="auto" w:fill="FFFFFF"/>
            <w:vAlign w:val="bottom"/>
          </w:tcPr>
          <w:p w14:paraId="10156418" w14:textId="77777777" w:rsidR="00086B58" w:rsidRPr="00FD1E91" w:rsidRDefault="005C79B1" w:rsidP="00086B58">
            <w:pPr>
              <w:pStyle w:val="CETBodytext"/>
              <w:ind w:right="-1"/>
              <w:rPr>
                <w:rFonts w:cs="Arial"/>
                <w:szCs w:val="18"/>
              </w:rPr>
            </w:pPr>
            <w:r w:rsidRPr="00086B58">
              <w:rPr>
                <w:rFonts w:cs="Arial"/>
                <w:color w:val="000000"/>
                <w:szCs w:val="18"/>
                <w:lang w:eastAsia="es-CO"/>
              </w:rPr>
              <w:t>Legal expenses</w:t>
            </w:r>
          </w:p>
        </w:tc>
        <w:tc>
          <w:tcPr>
            <w:tcW w:w="2693" w:type="dxa"/>
            <w:shd w:val="clear" w:color="auto" w:fill="FFFFFF"/>
            <w:vAlign w:val="bottom"/>
          </w:tcPr>
          <w:p w14:paraId="1FAD9901" w14:textId="77777777" w:rsidR="00086B58" w:rsidRPr="00FD1E91" w:rsidRDefault="005C79B1" w:rsidP="00086B58">
            <w:pPr>
              <w:pStyle w:val="CETBodytext"/>
              <w:ind w:right="-1"/>
              <w:rPr>
                <w:rFonts w:cs="Arial"/>
                <w:szCs w:val="18"/>
                <w:lang w:val="en-GB"/>
              </w:rPr>
            </w:pPr>
            <w:r w:rsidRPr="00086B58">
              <w:rPr>
                <w:rFonts w:cs="Arial"/>
                <w:color w:val="000000"/>
                <w:szCs w:val="18"/>
                <w:lang w:val="es-CO" w:eastAsia="es-CO"/>
              </w:rPr>
              <w:t>11</w:t>
            </w:r>
            <w:r w:rsidR="00FD1E91">
              <w:rPr>
                <w:rFonts w:cs="Arial"/>
                <w:color w:val="000000"/>
                <w:szCs w:val="18"/>
                <w:lang w:val="es-CO" w:eastAsia="es-CO"/>
              </w:rPr>
              <w:t>,</w:t>
            </w:r>
            <w:r w:rsidRPr="00086B58">
              <w:rPr>
                <w:rFonts w:cs="Arial"/>
                <w:color w:val="000000"/>
                <w:szCs w:val="18"/>
                <w:lang w:val="es-CO" w:eastAsia="es-CO"/>
              </w:rPr>
              <w:t>068</w:t>
            </w:r>
            <w:r w:rsidR="00FD1E91">
              <w:rPr>
                <w:rFonts w:cs="Arial"/>
                <w:color w:val="000000"/>
                <w:szCs w:val="18"/>
                <w:lang w:val="es-CO" w:eastAsia="es-CO"/>
              </w:rPr>
              <w:t>.</w:t>
            </w:r>
            <w:r w:rsidRPr="00086B58">
              <w:rPr>
                <w:rFonts w:cs="Arial"/>
                <w:color w:val="000000"/>
                <w:szCs w:val="18"/>
                <w:lang w:val="es-CO" w:eastAsia="es-CO"/>
              </w:rPr>
              <w:t>71</w:t>
            </w:r>
          </w:p>
        </w:tc>
      </w:tr>
      <w:tr w:rsidR="00E76E8D" w14:paraId="2B777219" w14:textId="77777777" w:rsidTr="00FD1E91">
        <w:tc>
          <w:tcPr>
            <w:tcW w:w="3828" w:type="dxa"/>
            <w:shd w:val="clear" w:color="auto" w:fill="FFFFFF"/>
            <w:vAlign w:val="bottom"/>
          </w:tcPr>
          <w:p w14:paraId="095288A2" w14:textId="77777777" w:rsidR="00086B58" w:rsidRPr="00FD1E91" w:rsidRDefault="005C79B1" w:rsidP="00086B58">
            <w:pPr>
              <w:autoSpaceDE w:val="0"/>
              <w:autoSpaceDN w:val="0"/>
              <w:rPr>
                <w:rFonts w:eastAsia="Calibri" w:cs="Arial"/>
                <w:color w:val="000000"/>
                <w:szCs w:val="18"/>
                <w:lang w:val="en-US" w:eastAsia="es-CO"/>
              </w:rPr>
            </w:pPr>
            <w:r w:rsidRPr="00086B58">
              <w:rPr>
                <w:rFonts w:cs="Arial"/>
                <w:color w:val="000000"/>
                <w:szCs w:val="18"/>
                <w:lang w:val="en-US" w:eastAsia="es-CO"/>
              </w:rPr>
              <w:t>Contractors' fee</w:t>
            </w:r>
          </w:p>
        </w:tc>
        <w:tc>
          <w:tcPr>
            <w:tcW w:w="2693" w:type="dxa"/>
            <w:shd w:val="clear" w:color="auto" w:fill="FFFFFF"/>
            <w:vAlign w:val="bottom"/>
          </w:tcPr>
          <w:p w14:paraId="3E50591D" w14:textId="77777777" w:rsidR="00086B58" w:rsidRPr="00FD1E91" w:rsidRDefault="005C79B1" w:rsidP="00086B58">
            <w:pPr>
              <w:autoSpaceDE w:val="0"/>
              <w:autoSpaceDN w:val="0"/>
              <w:jc w:val="left"/>
              <w:rPr>
                <w:rFonts w:eastAsia="Calibri" w:cs="Arial"/>
                <w:color w:val="000000"/>
                <w:szCs w:val="18"/>
                <w:lang w:eastAsia="es-CO"/>
              </w:rPr>
            </w:pPr>
            <w:r w:rsidRPr="00086B58">
              <w:rPr>
                <w:rFonts w:cs="Arial"/>
                <w:color w:val="000000"/>
                <w:szCs w:val="18"/>
                <w:lang w:val="es-CO" w:eastAsia="es-CO"/>
              </w:rPr>
              <w:t>178</w:t>
            </w:r>
            <w:r w:rsidR="00FD1E91">
              <w:rPr>
                <w:rFonts w:cs="Arial"/>
                <w:color w:val="000000"/>
                <w:szCs w:val="18"/>
                <w:lang w:val="es-CO" w:eastAsia="es-CO"/>
              </w:rPr>
              <w:t>,</w:t>
            </w:r>
            <w:r w:rsidRPr="00086B58">
              <w:rPr>
                <w:rFonts w:cs="Arial"/>
                <w:color w:val="000000"/>
                <w:szCs w:val="18"/>
                <w:lang w:val="es-CO" w:eastAsia="es-CO"/>
              </w:rPr>
              <w:t>980</w:t>
            </w:r>
            <w:r w:rsidR="00FD1E91">
              <w:rPr>
                <w:rFonts w:cs="Arial"/>
                <w:color w:val="000000"/>
                <w:szCs w:val="18"/>
                <w:lang w:val="es-CO" w:eastAsia="es-CO"/>
              </w:rPr>
              <w:t>.</w:t>
            </w:r>
            <w:r w:rsidRPr="00086B58">
              <w:rPr>
                <w:rFonts w:cs="Arial"/>
                <w:color w:val="000000"/>
                <w:szCs w:val="18"/>
                <w:lang w:val="es-CO" w:eastAsia="es-CO"/>
              </w:rPr>
              <w:t>98</w:t>
            </w:r>
          </w:p>
        </w:tc>
      </w:tr>
      <w:tr w:rsidR="00E76E8D" w14:paraId="7CBCE6E3" w14:textId="77777777" w:rsidTr="00FD1E91">
        <w:tc>
          <w:tcPr>
            <w:tcW w:w="3828" w:type="dxa"/>
            <w:shd w:val="clear" w:color="auto" w:fill="FFFFFF"/>
            <w:vAlign w:val="bottom"/>
          </w:tcPr>
          <w:p w14:paraId="2060E447" w14:textId="77777777" w:rsidR="00086B58" w:rsidRPr="00FD1E91" w:rsidRDefault="005C79B1" w:rsidP="00086B58">
            <w:pPr>
              <w:autoSpaceDE w:val="0"/>
              <w:autoSpaceDN w:val="0"/>
              <w:rPr>
                <w:rFonts w:eastAsia="Calibri" w:cs="Arial"/>
                <w:color w:val="000000"/>
                <w:szCs w:val="18"/>
                <w:lang w:val="en-US" w:eastAsia="es-CO"/>
              </w:rPr>
            </w:pPr>
            <w:r w:rsidRPr="00086B58">
              <w:rPr>
                <w:rFonts w:cs="Arial"/>
                <w:color w:val="000000"/>
                <w:szCs w:val="18"/>
                <w:lang w:val="en-US" w:eastAsia="es-CO"/>
              </w:rPr>
              <w:t>Contingency</w:t>
            </w:r>
          </w:p>
        </w:tc>
        <w:tc>
          <w:tcPr>
            <w:tcW w:w="2693" w:type="dxa"/>
            <w:shd w:val="clear" w:color="auto" w:fill="FFFFFF"/>
            <w:vAlign w:val="bottom"/>
          </w:tcPr>
          <w:p w14:paraId="40223E4D" w14:textId="77777777" w:rsidR="00086B58" w:rsidRPr="00FD1E91" w:rsidRDefault="005C79B1" w:rsidP="00086B58">
            <w:pPr>
              <w:autoSpaceDE w:val="0"/>
              <w:autoSpaceDN w:val="0"/>
              <w:jc w:val="left"/>
              <w:rPr>
                <w:rFonts w:eastAsia="Calibri" w:cs="Arial"/>
                <w:color w:val="000000"/>
                <w:szCs w:val="18"/>
                <w:lang w:eastAsia="es-CO"/>
              </w:rPr>
            </w:pPr>
            <w:r w:rsidRPr="00086B58">
              <w:rPr>
                <w:rFonts w:cs="Arial"/>
                <w:color w:val="000000"/>
                <w:szCs w:val="18"/>
                <w:lang w:val="es-CO" w:eastAsia="es-CO"/>
              </w:rPr>
              <w:t>332</w:t>
            </w:r>
            <w:r w:rsidR="00FD1E91">
              <w:rPr>
                <w:rFonts w:cs="Arial"/>
                <w:color w:val="000000"/>
                <w:szCs w:val="18"/>
                <w:lang w:val="es-CO" w:eastAsia="es-CO"/>
              </w:rPr>
              <w:t>,</w:t>
            </w:r>
            <w:r w:rsidRPr="00086B58">
              <w:rPr>
                <w:rFonts w:cs="Arial"/>
                <w:color w:val="000000"/>
                <w:szCs w:val="18"/>
                <w:lang w:val="es-CO" w:eastAsia="es-CO"/>
              </w:rPr>
              <w:t>061</w:t>
            </w:r>
            <w:r w:rsidR="00FD1E91">
              <w:rPr>
                <w:rFonts w:cs="Arial"/>
                <w:color w:val="000000"/>
                <w:szCs w:val="18"/>
                <w:lang w:val="es-CO" w:eastAsia="es-CO"/>
              </w:rPr>
              <w:t>.</w:t>
            </w:r>
            <w:r w:rsidRPr="00086B58">
              <w:rPr>
                <w:rFonts w:cs="Arial"/>
                <w:color w:val="000000"/>
                <w:szCs w:val="18"/>
                <w:lang w:val="es-CO" w:eastAsia="es-CO"/>
              </w:rPr>
              <w:t>18</w:t>
            </w:r>
          </w:p>
        </w:tc>
      </w:tr>
      <w:tr w:rsidR="00E76E8D" w14:paraId="525AF4B3" w14:textId="77777777" w:rsidTr="00BB01F2">
        <w:tc>
          <w:tcPr>
            <w:tcW w:w="3828" w:type="dxa"/>
            <w:tcBorders>
              <w:bottom w:val="single" w:sz="4" w:space="0" w:color="9BBB59" w:themeColor="accent3"/>
            </w:tcBorders>
            <w:shd w:val="clear" w:color="auto" w:fill="FFFFFF"/>
            <w:vAlign w:val="bottom"/>
          </w:tcPr>
          <w:p w14:paraId="75F28746" w14:textId="77777777" w:rsidR="00086B58" w:rsidRPr="00BB01F2" w:rsidRDefault="005C79B1" w:rsidP="00086B58">
            <w:pPr>
              <w:autoSpaceDE w:val="0"/>
              <w:autoSpaceDN w:val="0"/>
              <w:rPr>
                <w:rFonts w:cs="Arial"/>
                <w:b/>
                <w:bCs/>
                <w:color w:val="000000"/>
                <w:szCs w:val="18"/>
                <w:lang w:val="en-US" w:eastAsia="es-CO"/>
              </w:rPr>
            </w:pPr>
            <w:r w:rsidRPr="00086B58">
              <w:rPr>
                <w:rFonts w:cs="Arial"/>
                <w:b/>
                <w:bCs/>
                <w:color w:val="000000"/>
                <w:szCs w:val="18"/>
                <w:lang w:val="en-US" w:eastAsia="es-CO"/>
              </w:rPr>
              <w:t>Total IFCI</w:t>
            </w:r>
          </w:p>
        </w:tc>
        <w:tc>
          <w:tcPr>
            <w:tcW w:w="2693" w:type="dxa"/>
            <w:tcBorders>
              <w:bottom w:val="single" w:sz="4" w:space="0" w:color="9BBB59" w:themeColor="accent3"/>
            </w:tcBorders>
            <w:shd w:val="clear" w:color="auto" w:fill="FFFFFF"/>
            <w:vAlign w:val="bottom"/>
          </w:tcPr>
          <w:p w14:paraId="743C8F86" w14:textId="77777777" w:rsidR="00086B58" w:rsidRPr="00BB01F2" w:rsidRDefault="005C79B1" w:rsidP="00086B58">
            <w:pPr>
              <w:autoSpaceDE w:val="0"/>
              <w:autoSpaceDN w:val="0"/>
              <w:jc w:val="left"/>
              <w:rPr>
                <w:rFonts w:eastAsia="Calibri" w:cs="Arial"/>
                <w:color w:val="000000"/>
                <w:szCs w:val="18"/>
                <w:lang w:eastAsia="es-CO"/>
              </w:rPr>
            </w:pPr>
            <w:r w:rsidRPr="00086B58">
              <w:rPr>
                <w:rFonts w:cs="Arial"/>
                <w:color w:val="000000"/>
                <w:szCs w:val="18"/>
                <w:lang w:val="es-CO" w:eastAsia="es-CO"/>
              </w:rPr>
              <w:t>1</w:t>
            </w:r>
            <w:r w:rsidR="00FD1E91" w:rsidRPr="00BB01F2">
              <w:rPr>
                <w:rFonts w:cs="Arial"/>
                <w:color w:val="000000"/>
                <w:szCs w:val="18"/>
                <w:lang w:val="es-CO" w:eastAsia="es-CO"/>
              </w:rPr>
              <w:t>,</w:t>
            </w:r>
            <w:r w:rsidRPr="00086B58">
              <w:rPr>
                <w:rFonts w:cs="Arial"/>
                <w:color w:val="000000"/>
                <w:szCs w:val="18"/>
                <w:lang w:val="es-CO" w:eastAsia="es-CO"/>
              </w:rPr>
              <w:t>972</w:t>
            </w:r>
            <w:r w:rsidR="00FD1E91" w:rsidRPr="00BB01F2">
              <w:rPr>
                <w:rFonts w:cs="Arial"/>
                <w:color w:val="000000"/>
                <w:szCs w:val="18"/>
                <w:lang w:val="es-CO" w:eastAsia="es-CO"/>
              </w:rPr>
              <w:t>,</w:t>
            </w:r>
            <w:r w:rsidRPr="00086B58">
              <w:rPr>
                <w:rFonts w:cs="Arial"/>
                <w:color w:val="000000"/>
                <w:szCs w:val="18"/>
                <w:lang w:val="es-CO" w:eastAsia="es-CO"/>
              </w:rPr>
              <w:t>111</w:t>
            </w:r>
            <w:r w:rsidR="00FD1E91" w:rsidRPr="00BB01F2">
              <w:rPr>
                <w:rFonts w:cs="Arial"/>
                <w:color w:val="000000"/>
                <w:szCs w:val="18"/>
                <w:lang w:val="es-CO" w:eastAsia="es-CO"/>
              </w:rPr>
              <w:t>.</w:t>
            </w:r>
            <w:r w:rsidRPr="00086B58">
              <w:rPr>
                <w:rFonts w:cs="Arial"/>
                <w:color w:val="000000"/>
                <w:szCs w:val="18"/>
                <w:lang w:val="es-CO" w:eastAsia="es-CO"/>
              </w:rPr>
              <w:t>35</w:t>
            </w:r>
          </w:p>
        </w:tc>
      </w:tr>
      <w:tr w:rsidR="00E76E8D" w14:paraId="495928FF" w14:textId="77777777" w:rsidTr="00BB01F2">
        <w:tc>
          <w:tcPr>
            <w:tcW w:w="3828" w:type="dxa"/>
            <w:tcBorders>
              <w:top w:val="single" w:sz="4" w:space="0" w:color="9BBB59" w:themeColor="accent3"/>
            </w:tcBorders>
            <w:shd w:val="clear" w:color="auto" w:fill="FFFFFF"/>
            <w:vAlign w:val="bottom"/>
          </w:tcPr>
          <w:p w14:paraId="066A5BF6" w14:textId="77777777" w:rsidR="00086B58" w:rsidRPr="00BB01F2" w:rsidRDefault="005C79B1" w:rsidP="00086B58">
            <w:pPr>
              <w:autoSpaceDE w:val="0"/>
              <w:autoSpaceDN w:val="0"/>
              <w:rPr>
                <w:rFonts w:cs="Arial"/>
                <w:b/>
                <w:bCs/>
                <w:color w:val="000000"/>
                <w:szCs w:val="18"/>
                <w:lang w:val="en-US" w:eastAsia="es-CO"/>
              </w:rPr>
            </w:pPr>
            <w:r w:rsidRPr="00086B58">
              <w:rPr>
                <w:rFonts w:cs="Arial"/>
                <w:b/>
                <w:bCs/>
                <w:color w:val="000000"/>
                <w:szCs w:val="18"/>
                <w:lang w:val="en-US" w:eastAsia="es-CO"/>
              </w:rPr>
              <w:t>Fixed capital investment (FCI)</w:t>
            </w:r>
          </w:p>
        </w:tc>
        <w:tc>
          <w:tcPr>
            <w:tcW w:w="2693" w:type="dxa"/>
            <w:tcBorders>
              <w:top w:val="single" w:sz="4" w:space="0" w:color="9BBB59" w:themeColor="accent3"/>
            </w:tcBorders>
            <w:shd w:val="clear" w:color="auto" w:fill="FFFFFF"/>
            <w:vAlign w:val="bottom"/>
          </w:tcPr>
          <w:p w14:paraId="3956932E" w14:textId="77777777" w:rsidR="00086B58" w:rsidRPr="00FD1E91" w:rsidRDefault="005C79B1" w:rsidP="00086B58">
            <w:pPr>
              <w:autoSpaceDE w:val="0"/>
              <w:autoSpaceDN w:val="0"/>
              <w:jc w:val="left"/>
              <w:rPr>
                <w:rFonts w:eastAsia="Calibri" w:cs="Arial"/>
                <w:color w:val="000000"/>
                <w:szCs w:val="18"/>
                <w:lang w:eastAsia="es-CO"/>
              </w:rPr>
            </w:pPr>
            <w:r w:rsidRPr="00086B58">
              <w:rPr>
                <w:rFonts w:cs="Arial"/>
                <w:color w:val="000000"/>
                <w:szCs w:val="18"/>
                <w:lang w:val="es-CO" w:eastAsia="es-CO"/>
              </w:rPr>
              <w:t>4</w:t>
            </w:r>
            <w:r w:rsidR="00FD1E91">
              <w:rPr>
                <w:rFonts w:cs="Arial"/>
                <w:color w:val="000000"/>
                <w:szCs w:val="18"/>
                <w:lang w:val="es-CO" w:eastAsia="es-CO"/>
              </w:rPr>
              <w:t>,</w:t>
            </w:r>
            <w:r w:rsidRPr="00086B58">
              <w:rPr>
                <w:rFonts w:cs="Arial"/>
                <w:color w:val="000000"/>
                <w:szCs w:val="18"/>
                <w:lang w:val="es-CO" w:eastAsia="es-CO"/>
              </w:rPr>
              <w:t>528</w:t>
            </w:r>
            <w:r w:rsidR="00FD1E91">
              <w:rPr>
                <w:rFonts w:cs="Arial"/>
                <w:color w:val="000000"/>
                <w:szCs w:val="18"/>
                <w:lang w:val="es-CO" w:eastAsia="es-CO"/>
              </w:rPr>
              <w:t>,</w:t>
            </w:r>
            <w:r w:rsidRPr="00086B58">
              <w:rPr>
                <w:rFonts w:cs="Arial"/>
                <w:color w:val="000000"/>
                <w:szCs w:val="18"/>
                <w:lang w:val="es-CO" w:eastAsia="es-CO"/>
              </w:rPr>
              <w:t>982</w:t>
            </w:r>
            <w:r w:rsidR="00FD1E91">
              <w:rPr>
                <w:rFonts w:cs="Arial"/>
                <w:color w:val="000000"/>
                <w:szCs w:val="18"/>
                <w:lang w:val="es-CO" w:eastAsia="es-CO"/>
              </w:rPr>
              <w:t>.</w:t>
            </w:r>
            <w:r w:rsidRPr="00086B58">
              <w:rPr>
                <w:rFonts w:cs="Arial"/>
                <w:color w:val="000000"/>
                <w:szCs w:val="18"/>
                <w:lang w:val="es-CO" w:eastAsia="es-CO"/>
              </w:rPr>
              <w:t>43</w:t>
            </w:r>
          </w:p>
        </w:tc>
      </w:tr>
      <w:tr w:rsidR="00E76E8D" w14:paraId="112E88C2" w14:textId="77777777" w:rsidTr="00FD1E91">
        <w:tc>
          <w:tcPr>
            <w:tcW w:w="3828" w:type="dxa"/>
            <w:shd w:val="clear" w:color="auto" w:fill="FFFFFF"/>
            <w:vAlign w:val="bottom"/>
          </w:tcPr>
          <w:p w14:paraId="7C869DF1" w14:textId="77777777" w:rsidR="00086B58" w:rsidRPr="00FD1E91" w:rsidRDefault="005C79B1" w:rsidP="00086B58">
            <w:pPr>
              <w:autoSpaceDE w:val="0"/>
              <w:autoSpaceDN w:val="0"/>
              <w:rPr>
                <w:rFonts w:cs="Arial"/>
                <w:color w:val="000000"/>
                <w:szCs w:val="18"/>
                <w:lang w:val="en-US" w:eastAsia="es-CO"/>
              </w:rPr>
            </w:pPr>
            <w:r w:rsidRPr="00086B58">
              <w:rPr>
                <w:rFonts w:cs="Arial"/>
                <w:color w:val="000000"/>
                <w:szCs w:val="18"/>
                <w:lang w:val="en-US" w:eastAsia="es-CO"/>
              </w:rPr>
              <w:t>Working capital (WC)</w:t>
            </w:r>
          </w:p>
        </w:tc>
        <w:tc>
          <w:tcPr>
            <w:tcW w:w="2693" w:type="dxa"/>
            <w:shd w:val="clear" w:color="auto" w:fill="FFFFFF"/>
            <w:vAlign w:val="bottom"/>
          </w:tcPr>
          <w:p w14:paraId="5366288D" w14:textId="77777777" w:rsidR="00086B58" w:rsidRPr="00FD1E91" w:rsidRDefault="005C79B1" w:rsidP="00086B58">
            <w:pPr>
              <w:autoSpaceDE w:val="0"/>
              <w:autoSpaceDN w:val="0"/>
              <w:jc w:val="left"/>
              <w:rPr>
                <w:rFonts w:eastAsia="Calibri" w:cs="Arial"/>
                <w:color w:val="000000"/>
                <w:szCs w:val="18"/>
                <w:lang w:eastAsia="es-CO"/>
              </w:rPr>
            </w:pPr>
            <w:r w:rsidRPr="00086B58">
              <w:rPr>
                <w:rFonts w:cs="Arial"/>
                <w:color w:val="000000"/>
                <w:szCs w:val="18"/>
                <w:lang w:val="es-CO" w:eastAsia="es-CO"/>
              </w:rPr>
              <w:t>2</w:t>
            </w:r>
            <w:r w:rsidR="00FD1E91">
              <w:rPr>
                <w:rFonts w:cs="Arial"/>
                <w:color w:val="000000"/>
                <w:szCs w:val="18"/>
                <w:lang w:val="es-CO" w:eastAsia="es-CO"/>
              </w:rPr>
              <w:t>,</w:t>
            </w:r>
            <w:r w:rsidRPr="00086B58">
              <w:rPr>
                <w:rFonts w:cs="Arial"/>
                <w:color w:val="000000"/>
                <w:szCs w:val="18"/>
                <w:lang w:val="es-CO" w:eastAsia="es-CO"/>
              </w:rPr>
              <w:t>717</w:t>
            </w:r>
            <w:r w:rsidR="00FD1E91">
              <w:rPr>
                <w:rFonts w:cs="Arial"/>
                <w:color w:val="000000"/>
                <w:szCs w:val="18"/>
                <w:lang w:val="es-CO" w:eastAsia="es-CO"/>
              </w:rPr>
              <w:t>,</w:t>
            </w:r>
            <w:r w:rsidRPr="00086B58">
              <w:rPr>
                <w:rFonts w:cs="Arial"/>
                <w:color w:val="000000"/>
                <w:szCs w:val="18"/>
                <w:lang w:val="es-CO" w:eastAsia="es-CO"/>
              </w:rPr>
              <w:t>389</w:t>
            </w:r>
            <w:r w:rsidR="00FD1E91">
              <w:rPr>
                <w:rFonts w:cs="Arial"/>
                <w:color w:val="000000"/>
                <w:szCs w:val="18"/>
                <w:lang w:val="es-CO" w:eastAsia="es-CO"/>
              </w:rPr>
              <w:t>.</w:t>
            </w:r>
            <w:r w:rsidRPr="00086B58">
              <w:rPr>
                <w:rFonts w:cs="Arial"/>
                <w:color w:val="000000"/>
                <w:szCs w:val="18"/>
                <w:lang w:val="es-CO" w:eastAsia="es-CO"/>
              </w:rPr>
              <w:t>46</w:t>
            </w:r>
          </w:p>
        </w:tc>
      </w:tr>
      <w:tr w:rsidR="00E76E8D" w14:paraId="43521A53" w14:textId="77777777" w:rsidTr="00BB01F2">
        <w:tc>
          <w:tcPr>
            <w:tcW w:w="3828" w:type="dxa"/>
            <w:tcBorders>
              <w:bottom w:val="single" w:sz="4" w:space="0" w:color="9BBB59" w:themeColor="accent3"/>
            </w:tcBorders>
            <w:shd w:val="clear" w:color="auto" w:fill="FFFFFF"/>
            <w:vAlign w:val="bottom"/>
          </w:tcPr>
          <w:p w14:paraId="414144A8" w14:textId="77777777" w:rsidR="00086B58" w:rsidRPr="00FD1E91" w:rsidRDefault="005C79B1" w:rsidP="00086B58">
            <w:pPr>
              <w:autoSpaceDE w:val="0"/>
              <w:autoSpaceDN w:val="0"/>
              <w:rPr>
                <w:rFonts w:cs="Arial"/>
                <w:color w:val="000000"/>
                <w:szCs w:val="18"/>
                <w:lang w:val="en-US" w:eastAsia="es-CO"/>
              </w:rPr>
            </w:pPr>
            <w:r w:rsidRPr="00086B58">
              <w:rPr>
                <w:rFonts w:cs="Arial"/>
                <w:color w:val="000000"/>
                <w:szCs w:val="18"/>
                <w:lang w:val="en-US" w:eastAsia="es-CO"/>
              </w:rPr>
              <w:t>Star tup (SU)</w:t>
            </w:r>
          </w:p>
        </w:tc>
        <w:tc>
          <w:tcPr>
            <w:tcW w:w="2693" w:type="dxa"/>
            <w:tcBorders>
              <w:bottom w:val="single" w:sz="4" w:space="0" w:color="9BBB59" w:themeColor="accent3"/>
            </w:tcBorders>
            <w:shd w:val="clear" w:color="auto" w:fill="FFFFFF"/>
            <w:vAlign w:val="bottom"/>
          </w:tcPr>
          <w:p w14:paraId="7FF3B420" w14:textId="77777777" w:rsidR="00086B58" w:rsidRPr="00FD1E91" w:rsidRDefault="005C79B1" w:rsidP="00086B58">
            <w:pPr>
              <w:autoSpaceDE w:val="0"/>
              <w:autoSpaceDN w:val="0"/>
              <w:jc w:val="left"/>
              <w:rPr>
                <w:rFonts w:eastAsia="Calibri" w:cs="Arial"/>
                <w:color w:val="000000"/>
                <w:szCs w:val="18"/>
                <w:lang w:eastAsia="es-CO"/>
              </w:rPr>
            </w:pPr>
            <w:r w:rsidRPr="00086B58">
              <w:rPr>
                <w:rFonts w:cs="Arial"/>
                <w:color w:val="000000"/>
                <w:szCs w:val="18"/>
                <w:lang w:val="es-CO" w:eastAsia="es-CO"/>
              </w:rPr>
              <w:t>452</w:t>
            </w:r>
            <w:r w:rsidR="00FD1E91">
              <w:rPr>
                <w:rFonts w:cs="Arial"/>
                <w:color w:val="000000"/>
                <w:szCs w:val="18"/>
                <w:lang w:val="es-CO" w:eastAsia="es-CO"/>
              </w:rPr>
              <w:t>,</w:t>
            </w:r>
            <w:r w:rsidRPr="00086B58">
              <w:rPr>
                <w:rFonts w:cs="Arial"/>
                <w:color w:val="000000"/>
                <w:szCs w:val="18"/>
                <w:lang w:val="es-CO" w:eastAsia="es-CO"/>
              </w:rPr>
              <w:t>898</w:t>
            </w:r>
            <w:r w:rsidR="00FD1E91">
              <w:rPr>
                <w:rFonts w:cs="Arial"/>
                <w:color w:val="000000"/>
                <w:szCs w:val="18"/>
                <w:lang w:val="es-CO" w:eastAsia="es-CO"/>
              </w:rPr>
              <w:t>.</w:t>
            </w:r>
            <w:r w:rsidRPr="00086B58">
              <w:rPr>
                <w:rFonts w:cs="Arial"/>
                <w:color w:val="000000"/>
                <w:szCs w:val="18"/>
                <w:lang w:val="es-CO" w:eastAsia="es-CO"/>
              </w:rPr>
              <w:t>24</w:t>
            </w:r>
          </w:p>
        </w:tc>
      </w:tr>
      <w:tr w:rsidR="00E76E8D" w14:paraId="0553E08D" w14:textId="77777777" w:rsidTr="00BB01F2">
        <w:tc>
          <w:tcPr>
            <w:tcW w:w="3828" w:type="dxa"/>
            <w:tcBorders>
              <w:top w:val="single" w:sz="4" w:space="0" w:color="9BBB59" w:themeColor="accent3"/>
              <w:bottom w:val="double" w:sz="4" w:space="0" w:color="9BBB59" w:themeColor="accent3"/>
            </w:tcBorders>
            <w:shd w:val="clear" w:color="auto" w:fill="FFFFFF"/>
            <w:vAlign w:val="bottom"/>
          </w:tcPr>
          <w:p w14:paraId="3FC8AECE" w14:textId="77777777" w:rsidR="00086B58" w:rsidRPr="00FD1E91" w:rsidRDefault="005C79B1" w:rsidP="00086B58">
            <w:pPr>
              <w:autoSpaceDE w:val="0"/>
              <w:autoSpaceDN w:val="0"/>
              <w:rPr>
                <w:rFonts w:cs="Arial"/>
                <w:b/>
                <w:bCs/>
                <w:color w:val="000000"/>
                <w:szCs w:val="18"/>
                <w:lang w:val="en-US" w:eastAsia="es-CO"/>
              </w:rPr>
            </w:pPr>
            <w:r w:rsidRPr="00086B58">
              <w:rPr>
                <w:rFonts w:cs="Arial"/>
                <w:b/>
                <w:bCs/>
                <w:color w:val="000000"/>
                <w:szCs w:val="18"/>
                <w:lang w:val="en-US" w:eastAsia="es-CO"/>
              </w:rPr>
              <w:t>Total Capital Investment (TCI)</w:t>
            </w:r>
          </w:p>
        </w:tc>
        <w:tc>
          <w:tcPr>
            <w:tcW w:w="2693" w:type="dxa"/>
            <w:tcBorders>
              <w:top w:val="single" w:sz="4" w:space="0" w:color="9BBB59" w:themeColor="accent3"/>
              <w:bottom w:val="double" w:sz="4" w:space="0" w:color="9BBB59" w:themeColor="accent3"/>
            </w:tcBorders>
            <w:shd w:val="clear" w:color="auto" w:fill="FFFFFF"/>
            <w:vAlign w:val="bottom"/>
          </w:tcPr>
          <w:p w14:paraId="10E6E7B6" w14:textId="77777777" w:rsidR="00086B58" w:rsidRPr="00FD1E91" w:rsidRDefault="005C79B1" w:rsidP="00086B58">
            <w:pPr>
              <w:autoSpaceDE w:val="0"/>
              <w:autoSpaceDN w:val="0"/>
              <w:jc w:val="left"/>
              <w:rPr>
                <w:rFonts w:eastAsia="Calibri" w:cs="Arial"/>
                <w:b/>
                <w:bCs/>
                <w:color w:val="000000"/>
                <w:szCs w:val="18"/>
                <w:lang w:eastAsia="es-CO"/>
              </w:rPr>
            </w:pPr>
            <w:r w:rsidRPr="00086B58">
              <w:rPr>
                <w:rFonts w:cs="Arial"/>
                <w:b/>
                <w:bCs/>
                <w:color w:val="000000"/>
                <w:szCs w:val="18"/>
                <w:lang w:val="es-CO" w:eastAsia="es-CO"/>
              </w:rPr>
              <w:t>7</w:t>
            </w:r>
            <w:r w:rsidR="00FD1E91" w:rsidRPr="00FD1E91">
              <w:rPr>
                <w:rFonts w:cs="Arial"/>
                <w:b/>
                <w:bCs/>
                <w:color w:val="000000"/>
                <w:szCs w:val="18"/>
                <w:lang w:val="es-CO" w:eastAsia="es-CO"/>
              </w:rPr>
              <w:t>,</w:t>
            </w:r>
            <w:r w:rsidRPr="00086B58">
              <w:rPr>
                <w:rFonts w:cs="Arial"/>
                <w:b/>
                <w:bCs/>
                <w:color w:val="000000"/>
                <w:szCs w:val="18"/>
                <w:lang w:val="es-CO" w:eastAsia="es-CO"/>
              </w:rPr>
              <w:t>699</w:t>
            </w:r>
            <w:r w:rsidR="00FD1E91" w:rsidRPr="00FD1E91">
              <w:rPr>
                <w:rFonts w:cs="Arial"/>
                <w:b/>
                <w:bCs/>
                <w:color w:val="000000"/>
                <w:szCs w:val="18"/>
                <w:lang w:val="es-CO" w:eastAsia="es-CO"/>
              </w:rPr>
              <w:t>,</w:t>
            </w:r>
            <w:r w:rsidRPr="00086B58">
              <w:rPr>
                <w:rFonts w:cs="Arial"/>
                <w:b/>
                <w:bCs/>
                <w:color w:val="000000"/>
                <w:szCs w:val="18"/>
                <w:lang w:val="es-CO" w:eastAsia="es-CO"/>
              </w:rPr>
              <w:t>270</w:t>
            </w:r>
            <w:r w:rsidR="00FD1E91" w:rsidRPr="00FD1E91">
              <w:rPr>
                <w:rFonts w:cs="Arial"/>
                <w:b/>
                <w:bCs/>
                <w:color w:val="000000"/>
                <w:szCs w:val="18"/>
                <w:lang w:val="es-CO" w:eastAsia="es-CO"/>
              </w:rPr>
              <w:t>.</w:t>
            </w:r>
            <w:r w:rsidRPr="00086B58">
              <w:rPr>
                <w:rFonts w:cs="Arial"/>
                <w:b/>
                <w:bCs/>
                <w:color w:val="000000"/>
                <w:szCs w:val="18"/>
                <w:lang w:val="es-CO" w:eastAsia="es-CO"/>
              </w:rPr>
              <w:t>14</w:t>
            </w:r>
          </w:p>
        </w:tc>
      </w:tr>
    </w:tbl>
    <w:p w14:paraId="7DDA33DF" w14:textId="7BC01574" w:rsidR="000C263B" w:rsidRDefault="005C79B1" w:rsidP="004878B2">
      <w:pPr>
        <w:pStyle w:val="CETheadingx"/>
      </w:pPr>
      <w:r>
        <w:t>3.</w:t>
      </w:r>
      <w:r w:rsidR="00F76334">
        <w:t>1</w:t>
      </w:r>
      <w:r>
        <w:t xml:space="preserve"> </w:t>
      </w:r>
      <w:r w:rsidR="004878B2">
        <w:t>Economic i</w:t>
      </w:r>
      <w:r>
        <w:t>ndica</w:t>
      </w:r>
      <w:r w:rsidR="004878B2">
        <w:t xml:space="preserve">tors </w:t>
      </w:r>
    </w:p>
    <w:p w14:paraId="00CF02E0" w14:textId="2C9FA01C" w:rsidR="00D65087" w:rsidRDefault="005C79B1" w:rsidP="00B11E9C">
      <w:pPr>
        <w:pStyle w:val="CETBodytext"/>
      </w:pPr>
      <w:r w:rsidRPr="00FE7A50">
        <w:rPr>
          <w:color w:val="000000" w:themeColor="text1"/>
        </w:rPr>
        <w:t xml:space="preserve">Table </w:t>
      </w:r>
      <w:r>
        <w:rPr>
          <w:color w:val="000000" w:themeColor="text1"/>
        </w:rPr>
        <w:t>3</w:t>
      </w:r>
      <w:r w:rsidRPr="00FE7A50">
        <w:rPr>
          <w:color w:val="000000" w:themeColor="text1"/>
        </w:rPr>
        <w:t xml:space="preserve"> presents the results of the</w:t>
      </w:r>
      <w:r>
        <w:rPr>
          <w:color w:val="000000" w:themeColor="text1"/>
        </w:rPr>
        <w:t xml:space="preserve"> </w:t>
      </w:r>
      <w:r w:rsidRPr="00FE7A50">
        <w:rPr>
          <w:color w:val="000000" w:themeColor="text1"/>
        </w:rPr>
        <w:t xml:space="preserve">economic </w:t>
      </w:r>
      <w:r w:rsidR="00687212">
        <w:rPr>
          <w:color w:val="000000" w:themeColor="text1"/>
        </w:rPr>
        <w:t xml:space="preserve">indicators </w:t>
      </w:r>
      <w:r w:rsidRPr="00FE7A50">
        <w:rPr>
          <w:color w:val="000000" w:themeColor="text1"/>
        </w:rPr>
        <w:t xml:space="preserve">for the production of avocado oil </w:t>
      </w:r>
      <w:r>
        <w:rPr>
          <w:color w:val="000000" w:themeColor="text1"/>
        </w:rPr>
        <w:t xml:space="preserve">and avocado seed </w:t>
      </w:r>
      <w:r w:rsidRPr="003D42F2">
        <w:t xml:space="preserve">biochar under specific assumptions. It can be seen that the </w:t>
      </w:r>
      <w:r w:rsidR="0082128D" w:rsidRPr="003D42F2">
        <w:t>return-on-investment rate</w:t>
      </w:r>
      <w:r w:rsidRPr="003D42F2">
        <w:t xml:space="preserve"> and the annual cost-revenue were calculated at </w:t>
      </w:r>
      <w:r w:rsidR="0082128D" w:rsidRPr="003D42F2">
        <w:t>43 %</w:t>
      </w:r>
      <w:r w:rsidRPr="003D42F2">
        <w:t xml:space="preserve"> and </w:t>
      </w:r>
      <w:r w:rsidR="0082128D" w:rsidRPr="003D42F2">
        <w:t>7</w:t>
      </w:r>
      <w:r w:rsidRPr="003D42F2">
        <w:t>.</w:t>
      </w:r>
      <w:r w:rsidR="0082128D" w:rsidRPr="003D42F2">
        <w:t>42</w:t>
      </w:r>
      <w:r w:rsidRPr="003D42F2">
        <w:t xml:space="preserve">, respectively. </w:t>
      </w:r>
      <w:r w:rsidR="00B31AE5" w:rsidRPr="003D42F2">
        <w:t xml:space="preserve"> </w:t>
      </w:r>
      <w:r w:rsidRPr="003D42F2">
        <w:t>Therefore, the larger the more attractive the project will be.</w:t>
      </w:r>
      <w:r w:rsidR="00EF36DA" w:rsidRPr="003D42F2">
        <w:t xml:space="preserve"> </w:t>
      </w:r>
      <w:bookmarkStart w:id="5" w:name="_Hlk93013629"/>
      <w:r w:rsidRPr="003D42F2">
        <w:t xml:space="preserve">Since the cash flow is less than 1, the assembly of the biomass utilization plant (residues from the avocado crop or damaged fruits) should be considered. </w:t>
      </w:r>
      <w:r w:rsidRPr="003D42F2">
        <w:rPr>
          <w:lang w:val="es-CO"/>
        </w:rPr>
        <w:fldChar w:fldCharType="begin" w:fldLock="1"/>
      </w:r>
      <w:r w:rsidRPr="003D42F2">
        <w:instrText>ADDIN CSL_CITATION {"citationItems":[{"id":"ITEM-1","itemData":{"DOI":"10.1186/s40663-016-0081-8","ISSN":"21975620","author":[{"dropping-particle":"","family":"Homagain","given":"Krish","non-dropping-particle":"","parse-names":false,"suffix":""},{"dropping-particle":"","family":"Shahi","given":"Chander","non-dropping-particle":"","parse-names":false,"suffix":""},{"dropping-particle":"","family":"Luckai","given":"Nancy","non-dropping-particle":"","parse-names":false,"suffix":""},{"dropping-particle":"","family":"Sharma","given":"Mahadev","non-dropping-particle":"","parse-names":false,"suffix":""}],"container-title":"Forest Ecosystems","id":"ITEM-1","issue":"1","issued":{"date-parts":[["2016"]]},"page":"1-10","publisher":"Forest Ecosystems","title":"Life cycle cost and economic assessment of biochar-based bioenergy production and biochar land application in Northwestern Ontario, Canada","type":"article-journal","volume":"3"},"uris":["http://www.mendeley.com/documents/?uuid=eaf032a2-d35c-4107-8b52-aa31ca86aee4"]}],"mendeley":{"formattedCitation":"(Homagain et al. 2016)","manualFormatting":"Homagain et al. (2016)","plainTextFormattedCitation":"(Homagain et al. 2016)","previouslyFormattedCitation":"(Homagain et al. 2016)"},"properties":{"noteIndex":0},"schema":"https://github.com/citation-style-language/schema/raw/master/csl-citation.json"}</w:instrText>
      </w:r>
      <w:r w:rsidRPr="003D42F2">
        <w:rPr>
          <w:lang w:val="es-CO"/>
        </w:rPr>
        <w:fldChar w:fldCharType="separate"/>
      </w:r>
      <w:r w:rsidRPr="003D42F2">
        <w:rPr>
          <w:noProof/>
        </w:rPr>
        <w:t>Homagain et al. (2016)</w:t>
      </w:r>
      <w:r w:rsidRPr="003D42F2">
        <w:rPr>
          <w:lang w:val="es-CO"/>
        </w:rPr>
        <w:fldChar w:fldCharType="end"/>
      </w:r>
      <w:r w:rsidRPr="003D42F2">
        <w:t xml:space="preserve"> studied the assembly of a biochar-based bioenergy system, obtaining an ROI of 9 % with a payback time of the investment at the end of </w:t>
      </w:r>
      <w:r w:rsidRPr="003D42F2">
        <w:lastRenderedPageBreak/>
        <w:t>12 years.</w:t>
      </w:r>
      <w:r w:rsidR="006E544A">
        <w:t xml:space="preserve"> </w:t>
      </w:r>
      <w:r w:rsidR="00D65087" w:rsidRPr="00416C36">
        <w:rPr>
          <w:rFonts w:eastAsiaTheme="minorHAnsi"/>
        </w:rPr>
        <w:t xml:space="preserve">In the biochar and biofuel production process, </w:t>
      </w:r>
      <w:r w:rsidR="00D65087" w:rsidRPr="00F15FD7">
        <w:fldChar w:fldCharType="begin" w:fldLock="1"/>
      </w:r>
      <w:r w:rsidR="00D65087" w:rsidRPr="00F15FD7">
        <w:instrText>ADDIN CSL_CITATION {"citationItems":[{"id":"ITEM-1","itemData":{"DOI":"doi.org/10.1016/j.apenergy.2018.08.085","author":[{"dropping-particle":"","family":"Campbell","given":"Robert","non-dropping-particle":"","parse-names":false,"suffix":""},{"dropping-particle":"","family":"Anderson","given":"Nathaniel","non-dropping-particle":"","parse-names":false,"suffix":""},{"dropping-particle":"","family":"Daugaard","given":"Daren","non-dropping-particle":"","parse-names":false,"suffix":""},{"dropping-particle":"","family":"Naughton","given":"Helen","non-dropping-particle":"","parse-names":false,"suffix":""}],"container-title":"Applied Energy","id":"ITEM-1","issued":{"date-parts":[["2018"]]},"page":"330-343","title":"Financial viability of biofuel and biochar production from forest biomass in the face of market price volatility and uncertainty","type":"article-journal","volume":"230"},"uris":["http://www.mendeley.com/documents/?uuid=06680de7-fd7a-4cb7-b975-67b6063aa35b"]}],"mendeley":{"formattedCitation":"(Campbell et al. 2018)","manualFormatting":"Campbell et al. (2018)","plainTextFormattedCitation":"(Campbell et al. 2018)","previouslyFormattedCitation":"(Campbell et al. 2018)"},"properties":{"noteIndex":0},"schema":"https://github.com/citation-style-language/schema/raw/master/csl-citation.json"}</w:instrText>
      </w:r>
      <w:r w:rsidR="00D65087" w:rsidRPr="00F15FD7">
        <w:fldChar w:fldCharType="separate"/>
      </w:r>
      <w:r w:rsidR="00D65087" w:rsidRPr="00F15FD7">
        <w:rPr>
          <w:noProof/>
        </w:rPr>
        <w:t>Campbell et al. (2018)</w:t>
      </w:r>
      <w:r w:rsidR="00D65087" w:rsidRPr="00F15FD7">
        <w:fldChar w:fldCharType="end"/>
      </w:r>
      <w:r w:rsidR="00D65087">
        <w:t xml:space="preserve"> </w:t>
      </w:r>
      <w:r w:rsidR="00D65087" w:rsidRPr="00416C36">
        <w:rPr>
          <w:rFonts w:eastAsiaTheme="minorHAnsi"/>
        </w:rPr>
        <w:t xml:space="preserve">obtained financial losses with a net present value of -24.3 E+06 $. While for the production of only biochar, it obtained a net present value of 41.5 E+06 $. For their part, </w:t>
      </w:r>
      <w:r w:rsidR="00D65087" w:rsidRPr="00F15FD7">
        <w:rPr>
          <w:rFonts w:eastAsiaTheme="minorHAnsi"/>
        </w:rPr>
        <w:fldChar w:fldCharType="begin" w:fldLock="1"/>
      </w:r>
      <w:r w:rsidR="00D65087" w:rsidRPr="00F15FD7">
        <w:rPr>
          <w:rFonts w:eastAsiaTheme="minorHAnsi"/>
        </w:rPr>
        <w:instrText>ADDIN CSL_CITATION {"citationItems":[{"id":"ITEM-1","itemData":{"DOI":"10.1016/j.biortech.2021.126060","author":[{"dropping-particle":"","family":"Solarte-toro","given":"Juan Camilo","non-dropping-particle":"","parse-names":false,"suffix":""},{"dropping-particle":"","family":"Ortiz-sanchez","given":"Mariana","non-dropping-particle":"","parse-names":false,"suffix":""},{"dropping-particle":"","family":"Restrepo-serna","given":"Daissy Lorena","non-dropping-particle":"","parse-names":false,"suffix":""},{"dropping-particle":"","family":"Alexander","given":"P","non-dropping-particle":"","parse-names":false,"suffix":""},{"dropping-particle":"","family":"Peroza","given":"Pavel","non-dropping-particle":"","parse-names":false,"suffix":""},{"dropping-particle":"","family":"Ariel","given":"Carlos","non-dropping-particle":"","parse-names":false,"suffix":""},{"dropping-particle":"","family":"Alzate","given":"Cardona","non-dropping-particle":"","parse-names":false,"suffix":""}],"container-title":"Bioresource Technology","id":"ITEM-1","issue":"July","issued":{"date-parts":[["2021"]]},"title":"Bioresource Technology Influence of products portfolio and process contextualization on the economic performance of small- and large-scale avocado biorefineries","type":"article-journal","volume":"342"},"uris":["http://www.mendeley.com/documents/?uuid=039bf0c0-00c1-451f-987c-67847b94801b"]}],"mendeley":{"formattedCitation":"(Solarte-toro et al. 2021)","manualFormatting":"Solarte et al. (2021)","plainTextFormattedCitation":"(Solarte-toro et al. 2021)","previouslyFormattedCitation":"(Solarte-toro et al. 2021)"},"properties":{"noteIndex":0},"schema":"https://github.com/citation-style-language/schema/raw/master/csl-citation.json"}</w:instrText>
      </w:r>
      <w:r w:rsidR="00D65087" w:rsidRPr="00F15FD7">
        <w:rPr>
          <w:rFonts w:eastAsiaTheme="minorHAnsi"/>
        </w:rPr>
        <w:fldChar w:fldCharType="separate"/>
      </w:r>
      <w:r w:rsidR="00D65087" w:rsidRPr="00F15FD7">
        <w:rPr>
          <w:rFonts w:eastAsiaTheme="minorHAnsi"/>
          <w:noProof/>
        </w:rPr>
        <w:t>Solarte et al. (2021)</w:t>
      </w:r>
      <w:r w:rsidR="00D65087" w:rsidRPr="00F15FD7">
        <w:rPr>
          <w:rFonts w:eastAsiaTheme="minorHAnsi"/>
        </w:rPr>
        <w:fldChar w:fldCharType="end"/>
      </w:r>
      <w:r w:rsidR="00D65087" w:rsidRPr="00F15FD7">
        <w:rPr>
          <w:rFonts w:eastAsiaTheme="minorHAnsi"/>
        </w:rPr>
        <w:t xml:space="preserve"> </w:t>
      </w:r>
      <w:r w:rsidR="00D65087" w:rsidRPr="00416C36">
        <w:rPr>
          <w:rFonts w:eastAsiaTheme="minorHAnsi"/>
        </w:rPr>
        <w:t>proposed different scenarios to evaluate avocado biorefineries in Montes de María</w:t>
      </w:r>
      <w:r w:rsidR="00D65087">
        <w:rPr>
          <w:rFonts w:eastAsiaTheme="minorHAnsi"/>
        </w:rPr>
        <w:t>.</w:t>
      </w:r>
      <w:r w:rsidR="00D65087">
        <w:rPr>
          <w:color w:val="FF0000"/>
        </w:rPr>
        <w:t xml:space="preserve"> </w:t>
      </w:r>
      <w:r w:rsidR="00D65087" w:rsidRPr="00416C36">
        <w:rPr>
          <w:rFonts w:eastAsiaTheme="minorHAnsi"/>
        </w:rPr>
        <w:t xml:space="preserve">The selected small-scale biorefinery has </w:t>
      </w:r>
      <w:r w:rsidR="00D65087" w:rsidRPr="00F15FD7">
        <w:rPr>
          <w:rFonts w:eastAsiaTheme="minorHAnsi"/>
        </w:rPr>
        <w:t>a return on investment in the sixth year and an NPV of 210,000 USD</w:t>
      </w:r>
      <w:r w:rsidR="00D65087" w:rsidRPr="00416C36">
        <w:rPr>
          <w:rFonts w:eastAsiaTheme="minorHAnsi"/>
        </w:rPr>
        <w:t>.</w:t>
      </w:r>
      <w:r w:rsidR="00D65087">
        <w:rPr>
          <w:rFonts w:eastAsiaTheme="minorHAnsi"/>
        </w:rPr>
        <w:t xml:space="preserve"> </w:t>
      </w:r>
      <w:r w:rsidR="00D65087" w:rsidRPr="00F15FD7">
        <w:rPr>
          <w:rFonts w:eastAsiaTheme="minorHAnsi"/>
        </w:rPr>
        <w:t xml:space="preserve">In contrast, the large-scale biorefinery showed a net present value of 0.25 M.USD and a return on investment after 19.64 years of plant operation. In this case, avocado oil, furfural, and </w:t>
      </w:r>
      <w:proofErr w:type="spellStart"/>
      <w:r w:rsidR="00D65087" w:rsidRPr="00F15FD7">
        <w:rPr>
          <w:rFonts w:eastAsiaTheme="minorHAnsi"/>
        </w:rPr>
        <w:t>levulinic</w:t>
      </w:r>
      <w:proofErr w:type="spellEnd"/>
      <w:r w:rsidR="00D65087" w:rsidRPr="00F15FD7">
        <w:rPr>
          <w:rFonts w:eastAsiaTheme="minorHAnsi"/>
        </w:rPr>
        <w:t xml:space="preserve"> acid are produced as value-added products.</w:t>
      </w:r>
    </w:p>
    <w:bookmarkEnd w:id="5"/>
    <w:p w14:paraId="73E088BC" w14:textId="6336D541" w:rsidR="00B11E9C" w:rsidRPr="00EF36DA" w:rsidRDefault="005C79B1" w:rsidP="00EF36DA">
      <w:pPr>
        <w:pStyle w:val="CETTabletitle"/>
      </w:pPr>
      <w:r w:rsidRPr="00EF36DA">
        <w:t>Table 3</w:t>
      </w:r>
      <w:r w:rsidR="00D65087">
        <w:t>:</w:t>
      </w:r>
      <w:r w:rsidRPr="00EF36DA">
        <w:t xml:space="preserve"> Economic indicators </w:t>
      </w:r>
      <w:r w:rsidR="00042146">
        <w:t>for dual</w:t>
      </w:r>
      <w:r w:rsidRPr="00EF36DA">
        <w:t xml:space="preserve"> </w:t>
      </w:r>
      <w:r w:rsidR="00042146" w:rsidRPr="00CF4F14">
        <w:rPr>
          <w:lang w:val="en-US"/>
        </w:rPr>
        <w:t xml:space="preserve">oil and biochar production plant from </w:t>
      </w:r>
      <w:r w:rsidR="00042146">
        <w:rPr>
          <w:lang w:val="en-US"/>
        </w:rPr>
        <w:t xml:space="preserve">creole </w:t>
      </w:r>
      <w:r w:rsidR="00042146" w:rsidRPr="00CF4F14">
        <w:rPr>
          <w:lang w:val="en-US"/>
        </w:rPr>
        <w:t>avocado</w:t>
      </w:r>
    </w:p>
    <w:tbl>
      <w:tblPr>
        <w:tblW w:w="3952" w:type="pct"/>
        <w:tblBorders>
          <w:top w:val="single" w:sz="12" w:space="0" w:color="008000"/>
          <w:bottom w:val="single" w:sz="12" w:space="0" w:color="008000"/>
        </w:tblBorders>
        <w:tblLook w:val="0600" w:firstRow="0" w:lastRow="0" w:firstColumn="0" w:lastColumn="0" w:noHBand="1" w:noVBand="1"/>
      </w:tblPr>
      <w:tblGrid>
        <w:gridCol w:w="4677"/>
        <w:gridCol w:w="2268"/>
      </w:tblGrid>
      <w:tr w:rsidR="00E76E8D" w14:paraId="02B21345" w14:textId="77777777" w:rsidTr="00CA5D04">
        <w:trPr>
          <w:trHeight w:val="20"/>
        </w:trPr>
        <w:tc>
          <w:tcPr>
            <w:tcW w:w="3367" w:type="pct"/>
            <w:tcBorders>
              <w:top w:val="double" w:sz="4" w:space="0" w:color="9BBB59" w:themeColor="accent3"/>
              <w:bottom w:val="single" w:sz="4" w:space="0" w:color="9BBB59" w:themeColor="accent3"/>
            </w:tcBorders>
            <w:shd w:val="clear" w:color="auto" w:fill="auto"/>
          </w:tcPr>
          <w:p w14:paraId="07EA82AC" w14:textId="77777777" w:rsidR="00B61D06" w:rsidRPr="00B84823" w:rsidRDefault="005C79B1" w:rsidP="00B84823">
            <w:pPr>
              <w:autoSpaceDE w:val="0"/>
              <w:autoSpaceDN w:val="0"/>
              <w:spacing w:line="276" w:lineRule="auto"/>
              <w:ind w:hanging="72"/>
              <w:jc w:val="left"/>
              <w:rPr>
                <w:rFonts w:eastAsia="Calibri" w:cs="Arial"/>
                <w:b/>
                <w:color w:val="000000"/>
                <w:szCs w:val="18"/>
              </w:rPr>
            </w:pPr>
            <w:r w:rsidRPr="00B84823">
              <w:rPr>
                <w:rFonts w:eastAsia="Calibri" w:cs="Arial"/>
                <w:b/>
                <w:color w:val="000000"/>
                <w:szCs w:val="18"/>
              </w:rPr>
              <w:t>Costs of capital investment</w:t>
            </w:r>
          </w:p>
        </w:tc>
        <w:tc>
          <w:tcPr>
            <w:tcW w:w="1633" w:type="pct"/>
            <w:tcBorders>
              <w:top w:val="double" w:sz="4" w:space="0" w:color="9BBB59" w:themeColor="accent3"/>
              <w:bottom w:val="single" w:sz="4" w:space="0" w:color="9BBB59" w:themeColor="accent3"/>
            </w:tcBorders>
            <w:shd w:val="clear" w:color="auto" w:fill="auto"/>
          </w:tcPr>
          <w:p w14:paraId="4AA3A307" w14:textId="77777777" w:rsidR="00B61D06" w:rsidRPr="00B84823" w:rsidRDefault="005C79B1" w:rsidP="00B84823">
            <w:pPr>
              <w:autoSpaceDE w:val="0"/>
              <w:autoSpaceDN w:val="0"/>
              <w:jc w:val="left"/>
              <w:rPr>
                <w:rFonts w:eastAsia="Calibri" w:cs="Arial"/>
                <w:b/>
                <w:color w:val="000000"/>
                <w:szCs w:val="18"/>
                <w:lang w:val="es-CO"/>
              </w:rPr>
            </w:pPr>
            <w:r w:rsidRPr="00B84823">
              <w:rPr>
                <w:rFonts w:eastAsia="Calibri" w:cs="Arial"/>
                <w:b/>
                <w:color w:val="000000"/>
                <w:szCs w:val="18"/>
                <w:lang w:val="es-CO"/>
              </w:rPr>
              <w:t>Total (US$)</w:t>
            </w:r>
          </w:p>
        </w:tc>
      </w:tr>
      <w:tr w:rsidR="00E76E8D" w14:paraId="1D242A23" w14:textId="77777777" w:rsidTr="00CA5D04">
        <w:trPr>
          <w:trHeight w:val="227"/>
        </w:trPr>
        <w:tc>
          <w:tcPr>
            <w:tcW w:w="3367" w:type="pct"/>
            <w:tcBorders>
              <w:top w:val="single" w:sz="4" w:space="0" w:color="9BBB59" w:themeColor="accent3"/>
            </w:tcBorders>
            <w:shd w:val="clear" w:color="auto" w:fill="auto"/>
            <w:noWrap/>
          </w:tcPr>
          <w:p w14:paraId="0499FBBD" w14:textId="77777777" w:rsidR="00B61D06" w:rsidRPr="00B84823" w:rsidRDefault="005C79B1" w:rsidP="00B84823">
            <w:pPr>
              <w:autoSpaceDE w:val="0"/>
              <w:autoSpaceDN w:val="0"/>
              <w:jc w:val="left"/>
              <w:rPr>
                <w:rFonts w:eastAsia="Calibri" w:cs="Arial"/>
                <w:color w:val="000000"/>
                <w:szCs w:val="18"/>
                <w:lang w:eastAsia="es-CO"/>
              </w:rPr>
            </w:pPr>
            <w:r w:rsidRPr="00B84823">
              <w:rPr>
                <w:rFonts w:eastAsia="Calibri" w:cs="Arial"/>
                <w:color w:val="000000"/>
                <w:szCs w:val="18"/>
                <w:lang w:eastAsia="es-CO"/>
              </w:rPr>
              <w:t>Gross Profit (depreciation not included) (GP)</w:t>
            </w:r>
          </w:p>
        </w:tc>
        <w:tc>
          <w:tcPr>
            <w:tcW w:w="1633" w:type="pct"/>
            <w:tcBorders>
              <w:top w:val="single" w:sz="4" w:space="0" w:color="9BBB59" w:themeColor="accent3"/>
            </w:tcBorders>
            <w:shd w:val="clear" w:color="auto" w:fill="auto"/>
            <w:noWrap/>
          </w:tcPr>
          <w:p w14:paraId="225B2196" w14:textId="77777777" w:rsidR="00B61D06" w:rsidRPr="00B84823" w:rsidRDefault="005C79B1" w:rsidP="00B84823">
            <w:pPr>
              <w:autoSpaceDE w:val="0"/>
              <w:autoSpaceDN w:val="0"/>
              <w:jc w:val="left"/>
              <w:rPr>
                <w:rFonts w:cs="Arial"/>
                <w:szCs w:val="18"/>
              </w:rPr>
            </w:pPr>
            <w:r w:rsidRPr="00B84823">
              <w:rPr>
                <w:rFonts w:cs="Arial"/>
                <w:szCs w:val="18"/>
              </w:rPr>
              <w:t>5</w:t>
            </w:r>
            <w:r w:rsidR="00B11E9C" w:rsidRPr="00B84823">
              <w:rPr>
                <w:rFonts w:cs="Arial"/>
                <w:szCs w:val="18"/>
              </w:rPr>
              <w:t>,</w:t>
            </w:r>
            <w:r w:rsidRPr="00B84823">
              <w:rPr>
                <w:rFonts w:cs="Arial"/>
                <w:szCs w:val="18"/>
              </w:rPr>
              <w:t>162</w:t>
            </w:r>
            <w:r w:rsidR="00B11E9C" w:rsidRPr="00B84823">
              <w:rPr>
                <w:rFonts w:cs="Arial"/>
                <w:szCs w:val="18"/>
              </w:rPr>
              <w:t>,</w:t>
            </w:r>
            <w:r w:rsidRPr="00B84823">
              <w:rPr>
                <w:rFonts w:cs="Arial"/>
                <w:szCs w:val="18"/>
              </w:rPr>
              <w:t>674</w:t>
            </w:r>
            <w:r w:rsidR="00B11E9C" w:rsidRPr="00B84823">
              <w:rPr>
                <w:rFonts w:cs="Arial"/>
                <w:szCs w:val="18"/>
              </w:rPr>
              <w:t>.</w:t>
            </w:r>
            <w:r w:rsidRPr="00B84823">
              <w:rPr>
                <w:rFonts w:cs="Arial"/>
                <w:szCs w:val="18"/>
              </w:rPr>
              <w:t>49</w:t>
            </w:r>
          </w:p>
        </w:tc>
      </w:tr>
      <w:tr w:rsidR="00E76E8D" w14:paraId="4CF3A36D" w14:textId="77777777" w:rsidTr="00CA5D04">
        <w:trPr>
          <w:trHeight w:val="227"/>
        </w:trPr>
        <w:tc>
          <w:tcPr>
            <w:tcW w:w="3367" w:type="pct"/>
            <w:shd w:val="clear" w:color="auto" w:fill="auto"/>
            <w:vAlign w:val="bottom"/>
          </w:tcPr>
          <w:p w14:paraId="0F714338" w14:textId="77777777" w:rsidR="00B61D06" w:rsidRPr="00B84823" w:rsidRDefault="005C79B1" w:rsidP="00B84823">
            <w:pPr>
              <w:autoSpaceDE w:val="0"/>
              <w:autoSpaceDN w:val="0"/>
              <w:jc w:val="left"/>
              <w:rPr>
                <w:rFonts w:eastAsia="Calibri" w:cs="Arial"/>
                <w:color w:val="000000"/>
                <w:szCs w:val="18"/>
                <w:lang w:eastAsia="es-CO"/>
              </w:rPr>
            </w:pPr>
            <w:r w:rsidRPr="00B84823">
              <w:rPr>
                <w:rFonts w:eastAsia="Calibri" w:cs="Arial"/>
                <w:color w:val="000000"/>
                <w:szCs w:val="18"/>
                <w:lang w:eastAsia="es-CO"/>
              </w:rPr>
              <w:t>Gross Profit (depreciation included) (DGP)</w:t>
            </w:r>
          </w:p>
        </w:tc>
        <w:tc>
          <w:tcPr>
            <w:tcW w:w="1633" w:type="pct"/>
            <w:shd w:val="clear" w:color="auto" w:fill="auto"/>
            <w:noWrap/>
          </w:tcPr>
          <w:p w14:paraId="072C638C" w14:textId="77777777" w:rsidR="00B61D06" w:rsidRPr="00B84823" w:rsidRDefault="005C79B1" w:rsidP="00B84823">
            <w:pPr>
              <w:autoSpaceDE w:val="0"/>
              <w:autoSpaceDN w:val="0"/>
              <w:jc w:val="left"/>
              <w:rPr>
                <w:rFonts w:cs="Arial"/>
                <w:szCs w:val="18"/>
              </w:rPr>
            </w:pPr>
            <w:r w:rsidRPr="00B84823">
              <w:rPr>
                <w:rFonts w:cs="Arial"/>
                <w:szCs w:val="18"/>
              </w:rPr>
              <w:t>4</w:t>
            </w:r>
            <w:r w:rsidR="00B11E9C" w:rsidRPr="00B84823">
              <w:rPr>
                <w:rFonts w:cs="Arial"/>
                <w:szCs w:val="18"/>
              </w:rPr>
              <w:t>,</w:t>
            </w:r>
            <w:r w:rsidRPr="00B84823">
              <w:rPr>
                <w:rFonts w:cs="Arial"/>
                <w:szCs w:val="18"/>
              </w:rPr>
              <w:t>868</w:t>
            </w:r>
            <w:r w:rsidR="00B11E9C" w:rsidRPr="00B84823">
              <w:rPr>
                <w:rFonts w:cs="Arial"/>
                <w:szCs w:val="18"/>
              </w:rPr>
              <w:t>,</w:t>
            </w:r>
            <w:r w:rsidRPr="00B84823">
              <w:rPr>
                <w:rFonts w:cs="Arial"/>
                <w:szCs w:val="18"/>
              </w:rPr>
              <w:t>121</w:t>
            </w:r>
            <w:r w:rsidR="00B11E9C" w:rsidRPr="00B84823">
              <w:rPr>
                <w:rFonts w:cs="Arial"/>
                <w:szCs w:val="18"/>
              </w:rPr>
              <w:t>.</w:t>
            </w:r>
            <w:r w:rsidRPr="00B84823">
              <w:rPr>
                <w:rFonts w:cs="Arial"/>
                <w:szCs w:val="18"/>
              </w:rPr>
              <w:t>46</w:t>
            </w:r>
          </w:p>
        </w:tc>
      </w:tr>
      <w:tr w:rsidR="00E76E8D" w14:paraId="69E4190B" w14:textId="77777777" w:rsidTr="00CA5D04">
        <w:trPr>
          <w:trHeight w:val="96"/>
        </w:trPr>
        <w:tc>
          <w:tcPr>
            <w:tcW w:w="3367" w:type="pct"/>
            <w:shd w:val="clear" w:color="auto" w:fill="auto"/>
            <w:vAlign w:val="bottom"/>
          </w:tcPr>
          <w:p w14:paraId="39D15936" w14:textId="77777777" w:rsidR="00B61D06" w:rsidRPr="00B84823" w:rsidRDefault="005C79B1" w:rsidP="00B84823">
            <w:pPr>
              <w:autoSpaceDE w:val="0"/>
              <w:autoSpaceDN w:val="0"/>
              <w:jc w:val="left"/>
              <w:rPr>
                <w:rFonts w:eastAsia="Calibri" w:cs="Arial"/>
                <w:color w:val="000000"/>
                <w:szCs w:val="18"/>
                <w:lang w:eastAsia="es-CO"/>
              </w:rPr>
            </w:pPr>
            <w:r w:rsidRPr="00B84823">
              <w:rPr>
                <w:rFonts w:eastAsia="Calibri" w:cs="Arial"/>
                <w:color w:val="000000"/>
                <w:szCs w:val="18"/>
                <w:lang w:eastAsia="es-CO"/>
              </w:rPr>
              <w:t>Profit After Taxes (PAT)</w:t>
            </w:r>
          </w:p>
        </w:tc>
        <w:tc>
          <w:tcPr>
            <w:tcW w:w="1633" w:type="pct"/>
            <w:shd w:val="clear" w:color="auto" w:fill="auto"/>
            <w:noWrap/>
          </w:tcPr>
          <w:p w14:paraId="2F584F39" w14:textId="77777777" w:rsidR="00B61D06" w:rsidRPr="00B84823" w:rsidRDefault="005C79B1" w:rsidP="00B84823">
            <w:pPr>
              <w:autoSpaceDE w:val="0"/>
              <w:autoSpaceDN w:val="0"/>
              <w:jc w:val="left"/>
              <w:rPr>
                <w:rFonts w:cs="Arial"/>
                <w:szCs w:val="18"/>
              </w:rPr>
            </w:pPr>
            <w:r w:rsidRPr="00B84823">
              <w:rPr>
                <w:rFonts w:cs="Arial"/>
                <w:szCs w:val="18"/>
              </w:rPr>
              <w:t>3</w:t>
            </w:r>
            <w:r w:rsidR="00B11E9C" w:rsidRPr="00B84823">
              <w:rPr>
                <w:rFonts w:cs="Arial"/>
                <w:szCs w:val="18"/>
              </w:rPr>
              <w:t>,</w:t>
            </w:r>
            <w:r w:rsidRPr="00B84823">
              <w:rPr>
                <w:rFonts w:cs="Arial"/>
                <w:szCs w:val="18"/>
              </w:rPr>
              <w:t>310</w:t>
            </w:r>
            <w:r w:rsidR="00B11E9C" w:rsidRPr="00B84823">
              <w:rPr>
                <w:rFonts w:cs="Arial"/>
                <w:szCs w:val="18"/>
              </w:rPr>
              <w:t>,</w:t>
            </w:r>
            <w:r w:rsidRPr="00B84823">
              <w:rPr>
                <w:rFonts w:cs="Arial"/>
                <w:szCs w:val="18"/>
              </w:rPr>
              <w:t>322</w:t>
            </w:r>
            <w:r w:rsidR="00B11E9C" w:rsidRPr="00B84823">
              <w:rPr>
                <w:rFonts w:cs="Arial"/>
                <w:szCs w:val="18"/>
              </w:rPr>
              <w:t>.</w:t>
            </w:r>
            <w:r w:rsidRPr="00B84823">
              <w:rPr>
                <w:rFonts w:cs="Arial"/>
                <w:szCs w:val="18"/>
              </w:rPr>
              <w:t>60</w:t>
            </w:r>
          </w:p>
        </w:tc>
      </w:tr>
      <w:tr w:rsidR="00E76E8D" w14:paraId="54615577" w14:textId="77777777" w:rsidTr="00CA5D04">
        <w:trPr>
          <w:trHeight w:val="227"/>
        </w:trPr>
        <w:tc>
          <w:tcPr>
            <w:tcW w:w="3367" w:type="pct"/>
            <w:shd w:val="clear" w:color="auto" w:fill="auto"/>
            <w:vAlign w:val="bottom"/>
          </w:tcPr>
          <w:p w14:paraId="6EA1A4F1" w14:textId="77777777" w:rsidR="00B61D06" w:rsidRPr="00B84823" w:rsidRDefault="005C79B1" w:rsidP="00B84823">
            <w:pPr>
              <w:autoSpaceDE w:val="0"/>
              <w:autoSpaceDN w:val="0"/>
              <w:jc w:val="left"/>
              <w:rPr>
                <w:rFonts w:eastAsia="Calibri" w:cs="Arial"/>
                <w:color w:val="000000"/>
                <w:szCs w:val="18"/>
                <w:lang w:eastAsia="es-CO"/>
              </w:rPr>
            </w:pPr>
            <w:r w:rsidRPr="00B84823">
              <w:rPr>
                <w:rFonts w:eastAsia="Calibri" w:cs="Arial"/>
                <w:bCs/>
                <w:color w:val="000000"/>
                <w:szCs w:val="18"/>
              </w:rPr>
              <w:t>Cumulative cash flow (CCF) (1/year)</w:t>
            </w:r>
          </w:p>
        </w:tc>
        <w:tc>
          <w:tcPr>
            <w:tcW w:w="1633" w:type="pct"/>
            <w:shd w:val="clear" w:color="auto" w:fill="auto"/>
            <w:noWrap/>
          </w:tcPr>
          <w:p w14:paraId="4A41AB9C" w14:textId="77777777" w:rsidR="00B61D06" w:rsidRPr="00B84823" w:rsidRDefault="005C79B1" w:rsidP="00B84823">
            <w:pPr>
              <w:autoSpaceDE w:val="0"/>
              <w:autoSpaceDN w:val="0"/>
              <w:jc w:val="left"/>
              <w:rPr>
                <w:rFonts w:eastAsia="Calibri" w:cs="Arial"/>
                <w:color w:val="000000"/>
                <w:szCs w:val="18"/>
                <w:lang w:val="es-CO" w:eastAsia="es-CO"/>
              </w:rPr>
            </w:pPr>
            <w:r w:rsidRPr="00B84823">
              <w:rPr>
                <w:rFonts w:cs="Arial"/>
                <w:szCs w:val="18"/>
              </w:rPr>
              <w:t>0.6</w:t>
            </w:r>
            <w:r w:rsidR="00CA5D04" w:rsidRPr="00B84823">
              <w:rPr>
                <w:rFonts w:cs="Arial"/>
                <w:szCs w:val="18"/>
              </w:rPr>
              <w:t>7</w:t>
            </w:r>
          </w:p>
        </w:tc>
      </w:tr>
      <w:tr w:rsidR="00E76E8D" w14:paraId="42E26836" w14:textId="77777777" w:rsidTr="00CA5D04">
        <w:trPr>
          <w:trHeight w:val="227"/>
        </w:trPr>
        <w:tc>
          <w:tcPr>
            <w:tcW w:w="3367" w:type="pct"/>
            <w:shd w:val="clear" w:color="auto" w:fill="auto"/>
            <w:vAlign w:val="bottom"/>
          </w:tcPr>
          <w:p w14:paraId="35188F3F" w14:textId="77777777" w:rsidR="00B61D06" w:rsidRPr="00B84823" w:rsidRDefault="005C79B1" w:rsidP="00B84823">
            <w:pPr>
              <w:autoSpaceDE w:val="0"/>
              <w:autoSpaceDN w:val="0"/>
              <w:jc w:val="left"/>
              <w:rPr>
                <w:rFonts w:eastAsia="Calibri" w:cs="Arial"/>
                <w:bCs/>
                <w:color w:val="000000"/>
                <w:szCs w:val="18"/>
              </w:rPr>
            </w:pPr>
            <w:r w:rsidRPr="00B84823">
              <w:rPr>
                <w:rFonts w:eastAsia="Calibri" w:cs="Arial"/>
                <w:bCs/>
                <w:color w:val="000000"/>
                <w:szCs w:val="18"/>
              </w:rPr>
              <w:t>Payback period (PBP) (years)</w:t>
            </w:r>
          </w:p>
        </w:tc>
        <w:tc>
          <w:tcPr>
            <w:tcW w:w="1633" w:type="pct"/>
            <w:shd w:val="clear" w:color="auto" w:fill="auto"/>
            <w:noWrap/>
          </w:tcPr>
          <w:p w14:paraId="0A3C35A3" w14:textId="77777777" w:rsidR="00B61D06" w:rsidRPr="00B84823" w:rsidRDefault="005C79B1" w:rsidP="00B84823">
            <w:pPr>
              <w:autoSpaceDE w:val="0"/>
              <w:autoSpaceDN w:val="0"/>
              <w:jc w:val="left"/>
              <w:rPr>
                <w:rFonts w:eastAsia="Calibri" w:cs="Arial"/>
                <w:bCs/>
                <w:color w:val="000000"/>
                <w:szCs w:val="18"/>
                <w:lang w:val="es-CO"/>
              </w:rPr>
            </w:pPr>
            <w:r w:rsidRPr="00B84823">
              <w:rPr>
                <w:rFonts w:cs="Arial"/>
                <w:szCs w:val="18"/>
              </w:rPr>
              <w:t>1.</w:t>
            </w:r>
            <w:r w:rsidR="00CA5D04" w:rsidRPr="00B84823">
              <w:rPr>
                <w:rFonts w:cs="Arial"/>
                <w:szCs w:val="18"/>
              </w:rPr>
              <w:t>37</w:t>
            </w:r>
          </w:p>
        </w:tc>
      </w:tr>
      <w:tr w:rsidR="00E76E8D" w14:paraId="70BDADB3" w14:textId="77777777" w:rsidTr="00CA5D04">
        <w:trPr>
          <w:trHeight w:val="227"/>
        </w:trPr>
        <w:tc>
          <w:tcPr>
            <w:tcW w:w="3367" w:type="pct"/>
            <w:shd w:val="clear" w:color="auto" w:fill="auto"/>
            <w:vAlign w:val="bottom"/>
          </w:tcPr>
          <w:p w14:paraId="02C4A9BA" w14:textId="77777777" w:rsidR="00B61D06" w:rsidRPr="00B84823" w:rsidRDefault="005C79B1" w:rsidP="00B84823">
            <w:pPr>
              <w:autoSpaceDE w:val="0"/>
              <w:autoSpaceDN w:val="0"/>
              <w:jc w:val="left"/>
              <w:rPr>
                <w:rFonts w:eastAsia="Calibri" w:cs="Arial"/>
                <w:bCs/>
                <w:color w:val="000000"/>
                <w:szCs w:val="18"/>
              </w:rPr>
            </w:pPr>
            <w:r w:rsidRPr="00B84823">
              <w:rPr>
                <w:rFonts w:eastAsia="Calibri" w:cs="Arial"/>
                <w:bCs/>
                <w:color w:val="000000"/>
                <w:szCs w:val="18"/>
              </w:rPr>
              <w:t>Discounted payback period (DPBP) (years)</w:t>
            </w:r>
          </w:p>
        </w:tc>
        <w:tc>
          <w:tcPr>
            <w:tcW w:w="1633" w:type="pct"/>
            <w:shd w:val="clear" w:color="auto" w:fill="auto"/>
            <w:noWrap/>
          </w:tcPr>
          <w:p w14:paraId="4DAFEA55" w14:textId="77777777" w:rsidR="00B61D06" w:rsidRPr="00B84823" w:rsidRDefault="005C79B1" w:rsidP="00B84823">
            <w:pPr>
              <w:autoSpaceDE w:val="0"/>
              <w:autoSpaceDN w:val="0"/>
              <w:jc w:val="left"/>
              <w:rPr>
                <w:rFonts w:eastAsia="Calibri" w:cs="Arial"/>
                <w:bCs/>
                <w:color w:val="000000"/>
                <w:szCs w:val="18"/>
                <w:highlight w:val="green"/>
                <w:lang w:val="es-CO"/>
              </w:rPr>
            </w:pPr>
            <w:r>
              <w:rPr>
                <w:rFonts w:eastAsia="Calibri" w:cs="Arial"/>
                <w:bCs/>
                <w:color w:val="000000"/>
                <w:szCs w:val="18"/>
                <w:lang w:val="es-CO"/>
              </w:rPr>
              <w:t>6</w:t>
            </w:r>
            <w:r w:rsidRPr="00B84823">
              <w:rPr>
                <w:rFonts w:eastAsia="Calibri" w:cs="Arial"/>
                <w:bCs/>
                <w:color w:val="000000"/>
                <w:szCs w:val="18"/>
                <w:lang w:val="es-CO"/>
              </w:rPr>
              <w:t>,</w:t>
            </w:r>
            <w:r>
              <w:rPr>
                <w:rFonts w:eastAsia="Calibri" w:cs="Arial"/>
                <w:bCs/>
                <w:color w:val="000000"/>
                <w:szCs w:val="18"/>
                <w:lang w:val="es-CO"/>
              </w:rPr>
              <w:t>67</w:t>
            </w:r>
          </w:p>
        </w:tc>
      </w:tr>
      <w:tr w:rsidR="00E76E8D" w14:paraId="02C48C47" w14:textId="77777777" w:rsidTr="00CA5D04">
        <w:trPr>
          <w:trHeight w:val="227"/>
        </w:trPr>
        <w:tc>
          <w:tcPr>
            <w:tcW w:w="3367" w:type="pct"/>
            <w:shd w:val="clear" w:color="auto" w:fill="auto"/>
            <w:vAlign w:val="bottom"/>
          </w:tcPr>
          <w:p w14:paraId="37BD8F4F" w14:textId="77777777" w:rsidR="00B61D06" w:rsidRPr="00B84823" w:rsidRDefault="005C79B1" w:rsidP="00B84823">
            <w:pPr>
              <w:autoSpaceDE w:val="0"/>
              <w:autoSpaceDN w:val="0"/>
              <w:jc w:val="left"/>
              <w:rPr>
                <w:rFonts w:eastAsia="Calibri" w:cs="Arial"/>
                <w:bCs/>
                <w:color w:val="000000"/>
                <w:szCs w:val="18"/>
              </w:rPr>
            </w:pPr>
            <w:r w:rsidRPr="00B84823">
              <w:rPr>
                <w:rFonts w:eastAsia="Calibri" w:cs="Arial"/>
                <w:bCs/>
                <w:color w:val="000000"/>
                <w:szCs w:val="18"/>
              </w:rPr>
              <w:t xml:space="preserve">%ROI </w:t>
            </w:r>
          </w:p>
        </w:tc>
        <w:tc>
          <w:tcPr>
            <w:tcW w:w="1633" w:type="pct"/>
            <w:shd w:val="clear" w:color="auto" w:fill="auto"/>
            <w:noWrap/>
          </w:tcPr>
          <w:p w14:paraId="7E2F9719" w14:textId="4032BDC0" w:rsidR="00B61D06" w:rsidRPr="00B84823" w:rsidRDefault="005C79B1" w:rsidP="00B84823">
            <w:pPr>
              <w:autoSpaceDE w:val="0"/>
              <w:autoSpaceDN w:val="0"/>
              <w:jc w:val="left"/>
              <w:rPr>
                <w:rFonts w:eastAsia="Calibri" w:cs="Arial"/>
                <w:bCs/>
                <w:color w:val="000000"/>
                <w:szCs w:val="18"/>
                <w:lang w:val="es-CO"/>
              </w:rPr>
            </w:pPr>
            <w:r w:rsidRPr="00B84823">
              <w:rPr>
                <w:rFonts w:cs="Arial"/>
                <w:szCs w:val="18"/>
              </w:rPr>
              <w:t>4</w:t>
            </w:r>
            <w:r w:rsidR="00CA5D04" w:rsidRPr="00B84823">
              <w:rPr>
                <w:rFonts w:cs="Arial"/>
                <w:szCs w:val="18"/>
              </w:rPr>
              <w:t>3</w:t>
            </w:r>
            <w:r w:rsidRPr="00B84823">
              <w:rPr>
                <w:rFonts w:cs="Arial"/>
                <w:szCs w:val="18"/>
              </w:rPr>
              <w:t>.</w:t>
            </w:r>
            <w:r w:rsidR="00CA5D04" w:rsidRPr="00B84823">
              <w:rPr>
                <w:rFonts w:cs="Arial"/>
                <w:szCs w:val="18"/>
              </w:rPr>
              <w:t>00</w:t>
            </w:r>
            <w:r w:rsidR="00671A93">
              <w:rPr>
                <w:rFonts w:cs="Arial"/>
                <w:szCs w:val="18"/>
              </w:rPr>
              <w:t xml:space="preserve"> %</w:t>
            </w:r>
          </w:p>
        </w:tc>
      </w:tr>
      <w:tr w:rsidR="00E76E8D" w14:paraId="29F9C81D" w14:textId="77777777" w:rsidTr="00CA5D04">
        <w:trPr>
          <w:trHeight w:val="227"/>
        </w:trPr>
        <w:tc>
          <w:tcPr>
            <w:tcW w:w="3367" w:type="pct"/>
            <w:tcBorders>
              <w:bottom w:val="single" w:sz="4" w:space="0" w:color="9BBB59" w:themeColor="accent3"/>
            </w:tcBorders>
            <w:shd w:val="clear" w:color="auto" w:fill="auto"/>
            <w:vAlign w:val="bottom"/>
          </w:tcPr>
          <w:p w14:paraId="49462C60" w14:textId="77777777" w:rsidR="00B61D06" w:rsidRPr="00B84823" w:rsidRDefault="005C79B1" w:rsidP="00B84823">
            <w:pPr>
              <w:autoSpaceDE w:val="0"/>
              <w:autoSpaceDN w:val="0"/>
              <w:jc w:val="left"/>
              <w:rPr>
                <w:rFonts w:eastAsia="Calibri" w:cs="Arial"/>
                <w:bCs/>
                <w:color w:val="000000"/>
                <w:szCs w:val="18"/>
                <w:lang w:eastAsia="es-CO"/>
              </w:rPr>
            </w:pPr>
            <w:r w:rsidRPr="00B84823">
              <w:rPr>
                <w:rFonts w:eastAsia="Calibri" w:cs="Arial"/>
                <w:bCs/>
                <w:color w:val="000000"/>
                <w:szCs w:val="18"/>
              </w:rPr>
              <w:t>NPV (MM$)</w:t>
            </w:r>
          </w:p>
        </w:tc>
        <w:tc>
          <w:tcPr>
            <w:tcW w:w="1633" w:type="pct"/>
            <w:tcBorders>
              <w:bottom w:val="single" w:sz="4" w:space="0" w:color="9BBB59" w:themeColor="accent3"/>
            </w:tcBorders>
            <w:shd w:val="clear" w:color="auto" w:fill="auto"/>
            <w:noWrap/>
          </w:tcPr>
          <w:p w14:paraId="24213BA4" w14:textId="77777777" w:rsidR="00B61D06" w:rsidRPr="00B84823" w:rsidRDefault="005C79B1" w:rsidP="00B84823">
            <w:pPr>
              <w:autoSpaceDE w:val="0"/>
              <w:autoSpaceDN w:val="0"/>
              <w:jc w:val="left"/>
              <w:rPr>
                <w:rFonts w:eastAsia="Calibri" w:cs="Arial"/>
                <w:color w:val="000000"/>
                <w:szCs w:val="18"/>
                <w:lang w:val="es-CO" w:eastAsia="es-CO"/>
              </w:rPr>
            </w:pPr>
            <w:r w:rsidRPr="00B84823">
              <w:rPr>
                <w:rFonts w:cs="Arial"/>
                <w:szCs w:val="18"/>
              </w:rPr>
              <w:t>62.32</w:t>
            </w:r>
          </w:p>
        </w:tc>
      </w:tr>
      <w:tr w:rsidR="00E76E8D" w:rsidRPr="00FE1494" w14:paraId="0EAA3AE5" w14:textId="77777777" w:rsidTr="00CA5D04">
        <w:trPr>
          <w:trHeight w:val="227"/>
        </w:trPr>
        <w:tc>
          <w:tcPr>
            <w:tcW w:w="3367" w:type="pct"/>
            <w:tcBorders>
              <w:top w:val="single" w:sz="4" w:space="0" w:color="9BBB59" w:themeColor="accent3"/>
              <w:bottom w:val="double" w:sz="4" w:space="0" w:color="9BBB59" w:themeColor="accent3"/>
            </w:tcBorders>
            <w:shd w:val="clear" w:color="auto" w:fill="auto"/>
            <w:vAlign w:val="bottom"/>
          </w:tcPr>
          <w:p w14:paraId="6E7EC996" w14:textId="77777777" w:rsidR="00B61D06" w:rsidRPr="00B84823" w:rsidRDefault="005C79B1" w:rsidP="00B84823">
            <w:pPr>
              <w:autoSpaceDE w:val="0"/>
              <w:autoSpaceDN w:val="0"/>
              <w:jc w:val="left"/>
              <w:rPr>
                <w:rFonts w:eastAsia="Calibri" w:cs="Arial"/>
                <w:color w:val="000000"/>
                <w:szCs w:val="18"/>
                <w:lang w:eastAsia="es-CO"/>
              </w:rPr>
            </w:pPr>
            <w:r w:rsidRPr="00B84823">
              <w:rPr>
                <w:rFonts w:eastAsia="Calibri" w:cs="Arial"/>
                <w:b/>
                <w:bCs/>
                <w:color w:val="000000"/>
                <w:szCs w:val="18"/>
              </w:rPr>
              <w:t>Annual cost/Revenue</w:t>
            </w:r>
          </w:p>
        </w:tc>
        <w:tc>
          <w:tcPr>
            <w:tcW w:w="1633" w:type="pct"/>
            <w:tcBorders>
              <w:top w:val="single" w:sz="4" w:space="0" w:color="9BBB59" w:themeColor="accent3"/>
              <w:bottom w:val="double" w:sz="4" w:space="0" w:color="9BBB59" w:themeColor="accent3"/>
            </w:tcBorders>
            <w:shd w:val="clear" w:color="auto" w:fill="auto"/>
            <w:noWrap/>
          </w:tcPr>
          <w:p w14:paraId="11088385" w14:textId="77777777" w:rsidR="00B61D06" w:rsidRPr="00B84823" w:rsidRDefault="005C79B1" w:rsidP="00B84823">
            <w:pPr>
              <w:autoSpaceDE w:val="0"/>
              <w:autoSpaceDN w:val="0"/>
              <w:jc w:val="left"/>
              <w:rPr>
                <w:rFonts w:eastAsia="Calibri" w:cs="Arial"/>
                <w:color w:val="000000"/>
                <w:szCs w:val="18"/>
                <w:lang w:val="es-CO" w:eastAsia="es-CO"/>
              </w:rPr>
            </w:pPr>
            <w:r w:rsidRPr="00B84823">
              <w:rPr>
                <w:rFonts w:cs="Arial"/>
                <w:szCs w:val="18"/>
              </w:rPr>
              <w:t>7.42</w:t>
            </w:r>
          </w:p>
        </w:tc>
      </w:tr>
    </w:tbl>
    <w:p w14:paraId="33A211CC" w14:textId="77777777" w:rsidR="004878B2" w:rsidRPr="004878B2" w:rsidRDefault="004878B2" w:rsidP="004878B2">
      <w:pPr>
        <w:pStyle w:val="CETBodytext"/>
      </w:pPr>
    </w:p>
    <w:p w14:paraId="6B919832" w14:textId="401D90B9" w:rsidR="003D42F2" w:rsidRDefault="005C79B1" w:rsidP="003D4D34">
      <w:pPr>
        <w:pStyle w:val="CETBodytext"/>
        <w:rPr>
          <w:rFonts w:eastAsiaTheme="minorHAnsi"/>
        </w:rPr>
      </w:pPr>
      <w:bookmarkStart w:id="6" w:name="_Hlk93013734"/>
      <w:r w:rsidRPr="00F15FD7">
        <w:rPr>
          <w:rFonts w:eastAsiaTheme="minorHAnsi"/>
        </w:rPr>
        <w:t xml:space="preserve">These results indicate that a higher input of raw material is required to obtain more income. It should be noted that the small-scale biorefinery produces avocado oil, animal feed, and biogas, while in the present process only the assembly of a plant for the production of oil from avocado pulp and biochar from the seed was evaluated. of this same fruit, obtaining an NPV of 62.32 MM$ and an investment </w:t>
      </w:r>
      <w:r w:rsidR="00B52A69">
        <w:rPr>
          <w:rFonts w:eastAsiaTheme="minorHAnsi"/>
        </w:rPr>
        <w:t xml:space="preserve">payback period </w:t>
      </w:r>
      <w:r w:rsidRPr="00F15FD7">
        <w:rPr>
          <w:rFonts w:eastAsiaTheme="minorHAnsi"/>
        </w:rPr>
        <w:t>time of 6.67 years.</w:t>
      </w:r>
    </w:p>
    <w:bookmarkEnd w:id="6"/>
    <w:p w14:paraId="568A0403" w14:textId="2A757B9A" w:rsidR="007376B3" w:rsidRPr="008F1833" w:rsidRDefault="005C79B1" w:rsidP="006D24FB">
      <w:pPr>
        <w:pStyle w:val="CETBodytext"/>
        <w:rPr>
          <w:color w:val="FF0000"/>
        </w:rPr>
      </w:pPr>
      <w:r>
        <w:rPr>
          <w:noProof/>
        </w:rPr>
        <w:drawing>
          <wp:inline distT="0" distB="0" distL="0" distR="0" wp14:anchorId="6C1CADC2" wp14:editId="1642BD9D">
            <wp:extent cx="2628900" cy="17809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r="2873" b="2170"/>
                    <a:stretch>
                      <a:fillRect/>
                    </a:stretch>
                  </pic:blipFill>
                  <pic:spPr bwMode="auto">
                    <a:xfrm>
                      <a:off x="0" y="0"/>
                      <a:ext cx="2648026" cy="1793888"/>
                    </a:xfrm>
                    <a:prstGeom prst="rect">
                      <a:avLst/>
                    </a:prstGeom>
                    <a:noFill/>
                    <a:ln>
                      <a:noFill/>
                    </a:ln>
                    <a:extLst>
                      <a:ext uri="{53640926-AAD7-44D8-BBD7-CCE9431645EC}">
                        <a14:shadowObscured xmlns:a14="http://schemas.microsoft.com/office/drawing/2010/main"/>
                      </a:ext>
                    </a:extLst>
                  </pic:spPr>
                </pic:pic>
              </a:graphicData>
            </a:graphic>
          </wp:inline>
        </w:drawing>
      </w:r>
      <w:r w:rsidRPr="008F1833">
        <w:t xml:space="preserve"> </w:t>
      </w:r>
      <w:r w:rsidR="007376B3">
        <w:rPr>
          <w:noProof/>
        </w:rPr>
        <w:drawing>
          <wp:inline distT="0" distB="0" distL="0" distR="0" wp14:anchorId="6593DBFD" wp14:editId="6F1CF77A">
            <wp:extent cx="2695575" cy="1764628"/>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8952" cy="1773385"/>
                    </a:xfrm>
                    <a:prstGeom prst="rect">
                      <a:avLst/>
                    </a:prstGeom>
                    <a:noFill/>
                    <a:ln>
                      <a:noFill/>
                    </a:ln>
                  </pic:spPr>
                </pic:pic>
              </a:graphicData>
            </a:graphic>
          </wp:inline>
        </w:drawing>
      </w:r>
    </w:p>
    <w:p w14:paraId="33A464E9" w14:textId="1AA65952" w:rsidR="003C557B" w:rsidRPr="008F1833" w:rsidRDefault="005C79B1" w:rsidP="008F1833">
      <w:pPr>
        <w:pStyle w:val="CETCaption"/>
        <w:rPr>
          <w:lang w:val="en-US"/>
        </w:rPr>
      </w:pPr>
      <w:r w:rsidRPr="008F1833">
        <w:rPr>
          <w:lang w:val="en-US"/>
        </w:rPr>
        <w:t>Figure 2</w:t>
      </w:r>
      <w:r w:rsidR="00D65087">
        <w:rPr>
          <w:lang w:val="en-US"/>
        </w:rPr>
        <w:t>:</w:t>
      </w:r>
      <w:r w:rsidRPr="008F1833">
        <w:rPr>
          <w:lang w:val="en-US"/>
        </w:rPr>
        <w:t xml:space="preserve"> </w:t>
      </w:r>
      <w:r w:rsidRPr="00FA2F4E">
        <w:rPr>
          <w:shd w:val="clear" w:color="auto" w:fill="FFFFFF"/>
        </w:rPr>
        <w:t xml:space="preserve">a) Equilibrium production </w:t>
      </w:r>
      <w:r w:rsidRPr="00FA2F4E">
        <w:rPr>
          <w:color w:val="212121"/>
          <w:shd w:val="clear" w:color="auto" w:fill="FFFFFF"/>
        </w:rPr>
        <w:t>capacity</w:t>
      </w:r>
      <w:r>
        <w:rPr>
          <w:color w:val="212121"/>
          <w:shd w:val="clear" w:color="auto" w:fill="FFFFFF"/>
        </w:rPr>
        <w:t xml:space="preserve">. </w:t>
      </w:r>
      <w:r>
        <w:t>b</w:t>
      </w:r>
      <w:r w:rsidRPr="00FA2F4E">
        <w:t xml:space="preserve">) </w:t>
      </w:r>
      <w:r w:rsidR="008B7D4F" w:rsidRPr="008B7D4F">
        <w:t>Net Present Value of the process.</w:t>
      </w:r>
    </w:p>
    <w:p w14:paraId="603AE9E2" w14:textId="3B927F2F" w:rsidR="00FF16C2" w:rsidRPr="00FF16C2" w:rsidRDefault="00BC1100" w:rsidP="00FF16C2">
      <w:pPr>
        <w:pStyle w:val="CETBodytext"/>
      </w:pPr>
      <w:bookmarkStart w:id="7" w:name="_Hlk93048606"/>
      <w:r w:rsidRPr="00D6106D">
        <w:t>The economic analysis allowed us to evaluate how the avocado oil and biochar production process could be affected, if there are changes in the product's sale price, in the cost of the raw material. Figure 2a shows that the installed capacity of 10,500 t/y is far from the equilibrium point, so the process will not be affected if its processing capacity decreases. An equilibrium production capacity of 3,200 t/y was obtained, represented by the intersection of the two lines.</w:t>
      </w:r>
      <w:r w:rsidR="006E544A">
        <w:t xml:space="preserve"> </w:t>
      </w:r>
      <w:r w:rsidRPr="00FF16C2">
        <w:t>Figure 2b represents the sum of all the profits accumulated during the useful life of the plant (15 years), the process begins to have a positive net present value from the eighth year, after this period it is possible to recover the investment</w:t>
      </w:r>
      <w:r w:rsidR="000E5C9A" w:rsidRPr="00FF16C2">
        <w:t xml:space="preserve"> </w:t>
      </w:r>
      <w:r w:rsidRPr="00FF16C2">
        <w:t xml:space="preserve">made </w:t>
      </w:r>
      <w:r w:rsidR="00671A93" w:rsidRPr="00FF16C2">
        <w:t xml:space="preserve">by </w:t>
      </w:r>
      <w:r w:rsidRPr="00FF16C2">
        <w:t>taking into account the change in the value of money over time.</w:t>
      </w:r>
      <w:r w:rsidR="00F74820" w:rsidRPr="00FF16C2">
        <w:t xml:space="preserve"> Because the benefits are greater than the investment and costs, the project is viable from the economic point of view </w:t>
      </w:r>
      <w:r w:rsidR="00940DB2" w:rsidRPr="00FF16C2">
        <w:fldChar w:fldCharType="begin" w:fldLock="1"/>
      </w:r>
      <w:r w:rsidR="000E40F3" w:rsidRPr="00FF16C2">
        <w:instrText>ADDIN CSL_CITATION {"citationItems":[{"id":"ITEM-1","itemData":{"author":[{"dropping-particle":"","family":"Riveros Cruz","given":"Yuri Viviana","non-dropping-particle":"","parse-names":false,"suffix":""},{"dropping-particle":"","family":"Leal Gonzalez","given":"Laura Lucia","non-dropping-particle":"","parse-names":false,"suffix":""}],"container-title":"Universidad de los Llanos","id":"ITEM-1","issued":{"date-parts":[["2016"]]},"number-of-pages":"16-281","title":"Proyecto de pre inversión para la creación de una planta productora y comercializadora de aceite de aguacate gourmet en la ciudad de Villavicencio","type":"thesis"},"uris":["http://www.mendeley.com/documents/?uuid=9bce5cdb-5301-4bfe-955d-dbd8484616be"]}],"mendeley":{"formattedCitation":"(Riveros Cruz and Leal Gonzalez 2016)","manualFormatting":"(Riveros and Leal, 2016)","plainTextFormattedCitation":"(Riveros Cruz and Leal Gonzalez 2016)","previouslyFormattedCitation":"(Riveros Cruz and Leal Gonzalez 2016)"},"properties":{"noteIndex":0},"schema":"https://github.com/citation-style-language/schema/raw/master/csl-citation.json"}</w:instrText>
      </w:r>
      <w:r w:rsidR="00940DB2" w:rsidRPr="00FF16C2">
        <w:fldChar w:fldCharType="separate"/>
      </w:r>
      <w:r w:rsidR="00940DB2" w:rsidRPr="00FF16C2">
        <w:t>(Riveros and Leal</w:t>
      </w:r>
      <w:r w:rsidR="00CD4C21" w:rsidRPr="00FF16C2">
        <w:t xml:space="preserve">, </w:t>
      </w:r>
      <w:r w:rsidR="00940DB2" w:rsidRPr="00FF16C2">
        <w:t>2016)</w:t>
      </w:r>
      <w:r w:rsidR="00940DB2" w:rsidRPr="00FF16C2">
        <w:fldChar w:fldCharType="end"/>
      </w:r>
      <w:r w:rsidR="000B1444" w:rsidRPr="00FF16C2">
        <w:t>.</w:t>
      </w:r>
      <w:r w:rsidR="006E544A">
        <w:t xml:space="preserve"> </w:t>
      </w:r>
      <w:r w:rsidR="00FF16C2" w:rsidRPr="00FF16C2">
        <w:t xml:space="preserve">To determine the sustainability of the process, it is necessary to evaluate the process not only from the economic point of view but also from the environmental, exergetic, technical, and safety points of view. </w:t>
      </w:r>
    </w:p>
    <w:p w14:paraId="146A6D69" w14:textId="77777777" w:rsidR="000613FE" w:rsidRPr="00FF16C2" w:rsidRDefault="005C79B1" w:rsidP="000613FE">
      <w:pPr>
        <w:pStyle w:val="CETHeading1"/>
        <w:numPr>
          <w:ilvl w:val="0"/>
          <w:numId w:val="0"/>
        </w:numPr>
      </w:pPr>
      <w:r w:rsidRPr="00FF16C2">
        <w:t xml:space="preserve">4. Conclusions </w:t>
      </w:r>
    </w:p>
    <w:bookmarkEnd w:id="7"/>
    <w:p w14:paraId="51F3FFB4" w14:textId="51DBFBE5" w:rsidR="00144E40" w:rsidRPr="00144E40" w:rsidRDefault="005C79B1" w:rsidP="00144E40">
      <w:pPr>
        <w:pStyle w:val="CETBodytext"/>
        <w:rPr>
          <w:b/>
        </w:rPr>
      </w:pPr>
      <w:r w:rsidRPr="00144E40">
        <w:t xml:space="preserve">Being the assembly of an oil and biochar production plant, a new and untested process, good results were obtained for the use of residual biomass from the avocado crop. It was observed that the process will not be affected by changes in the price of the raw material, since the avocado used will not increase its value significantly, likewise, the present study allowed identifying the costs associated with the purchase and installation of equipment, assembly of structures, industrial services, labor and other expenses. The indicators </w:t>
      </w:r>
      <w:r w:rsidRPr="00144E40">
        <w:lastRenderedPageBreak/>
        <w:t>help define the viability of a project, in this case, the technical-</w:t>
      </w:r>
      <w:r w:rsidRPr="006A5527">
        <w:t>economic analysis yielded</w:t>
      </w:r>
      <w:r w:rsidRPr="00144E40">
        <w:t xml:space="preserve"> favorable results since a positive </w:t>
      </w:r>
      <w:r>
        <w:t xml:space="preserve">% </w:t>
      </w:r>
      <w:r w:rsidRPr="00144E40">
        <w:t>ROI and a cost-benefit rati</w:t>
      </w:r>
      <w:r>
        <w:t xml:space="preserve">o </w:t>
      </w:r>
      <w:r w:rsidRPr="00144E40">
        <w:t>greater than 1 are obtained, indicating that it is possible to invest in the assembly of a plant. north of Colombia with the above considerations. In addition, the process has a positive net present value and a payback of the investment in almost 7 years.</w:t>
      </w:r>
    </w:p>
    <w:p w14:paraId="18A57CD3" w14:textId="21DC18B3" w:rsidR="00243E95" w:rsidRDefault="005C79B1" w:rsidP="00243E95">
      <w:pPr>
        <w:pStyle w:val="CETAcknowledgementstitle"/>
      </w:pPr>
      <w:r w:rsidRPr="001646E5">
        <w:t>Nomenclature</w:t>
      </w:r>
    </w:p>
    <w:p w14:paraId="1FB27BBA" w14:textId="77777777" w:rsidR="008F1833" w:rsidRDefault="008F1833" w:rsidP="008F1833">
      <w:pPr>
        <w:pStyle w:val="CETBodytext"/>
        <w:sectPr w:rsidR="008F1833" w:rsidSect="005B165B">
          <w:type w:val="continuous"/>
          <w:pgSz w:w="11906" w:h="16838" w:code="9"/>
          <w:pgMar w:top="1701" w:right="1418" w:bottom="1701" w:left="1701" w:header="1701" w:footer="0" w:gutter="0"/>
          <w:cols w:space="708"/>
          <w:formProt w:val="0"/>
          <w:titlePg/>
          <w:docGrid w:linePitch="360"/>
        </w:sectPr>
      </w:pPr>
    </w:p>
    <w:p w14:paraId="1D415694" w14:textId="77777777" w:rsidR="008F1833" w:rsidRPr="00AB4621" w:rsidRDefault="005C79B1" w:rsidP="008F1833">
      <w:pPr>
        <w:pStyle w:val="CETBodytext"/>
      </w:pPr>
      <w:r w:rsidRPr="00AB4621">
        <w:t xml:space="preserve">FCI </w:t>
      </w:r>
      <w:r w:rsidRPr="00AB4621">
        <w:rPr>
          <w:rFonts w:eastAsia="SimSun"/>
        </w:rPr>
        <w:t xml:space="preserve">– </w:t>
      </w:r>
      <w:r w:rsidRPr="00AB4621">
        <w:t>Fixed capital investment</w:t>
      </w:r>
    </w:p>
    <w:p w14:paraId="6EA33498" w14:textId="77777777" w:rsidR="008F1833" w:rsidRPr="00AB4621" w:rsidRDefault="005C79B1" w:rsidP="008F1833">
      <w:pPr>
        <w:pStyle w:val="CETBodytext"/>
      </w:pPr>
      <w:r w:rsidRPr="00AB4621">
        <w:t>FCI0</w:t>
      </w:r>
      <w:r w:rsidRPr="00AB4621">
        <w:rPr>
          <w:rFonts w:eastAsia="SimSun"/>
        </w:rPr>
        <w:t xml:space="preserve">– </w:t>
      </w:r>
      <w:r w:rsidRPr="00AB4621">
        <w:t>Initial value of depreciable Fixed Capital Investment</w:t>
      </w:r>
    </w:p>
    <w:p w14:paraId="06259A57" w14:textId="77777777" w:rsidR="008F1833" w:rsidRPr="00AB4621" w:rsidRDefault="005C79B1" w:rsidP="008F1833">
      <w:pPr>
        <w:pStyle w:val="CETBodytext"/>
      </w:pPr>
      <w:r w:rsidRPr="00AB4621">
        <w:t xml:space="preserve">FCIs </w:t>
      </w:r>
      <w:r w:rsidRPr="00AB4621">
        <w:rPr>
          <w:rFonts w:eastAsia="SimSun"/>
        </w:rPr>
        <w:t xml:space="preserve">– </w:t>
      </w:r>
      <w:r w:rsidRPr="00AB4621">
        <w:t>Salvage value of Fixed Capital Investment</w:t>
      </w:r>
    </w:p>
    <w:p w14:paraId="6B9EBD77" w14:textId="77777777" w:rsidR="008F1833" w:rsidRPr="00AB4621" w:rsidRDefault="005C79B1" w:rsidP="008F1833">
      <w:pPr>
        <w:pStyle w:val="CETBodytext"/>
      </w:pPr>
      <w:r w:rsidRPr="00AB4621">
        <w:t xml:space="preserve">OC </w:t>
      </w:r>
      <w:r w:rsidRPr="00AB4621">
        <w:rPr>
          <w:rFonts w:eastAsia="SimSun"/>
        </w:rPr>
        <w:t xml:space="preserve">– </w:t>
      </w:r>
      <w:r w:rsidRPr="00AB4621">
        <w:t>Operating costs</w:t>
      </w:r>
    </w:p>
    <w:p w14:paraId="43D77178" w14:textId="77777777" w:rsidR="008F1833" w:rsidRPr="00AB4621" w:rsidRDefault="005C79B1" w:rsidP="008F1833">
      <w:pPr>
        <w:pStyle w:val="CETBodytext"/>
      </w:pPr>
      <w:r w:rsidRPr="00AB4621">
        <w:t xml:space="preserve">DPC </w:t>
      </w:r>
      <w:r w:rsidRPr="00AB4621">
        <w:rPr>
          <w:rFonts w:eastAsia="SimSun"/>
        </w:rPr>
        <w:t xml:space="preserve">– </w:t>
      </w:r>
      <w:r w:rsidRPr="00AB4621">
        <w:t>Direct production costs</w:t>
      </w:r>
    </w:p>
    <w:p w14:paraId="3B28F085" w14:textId="77777777" w:rsidR="008F1833" w:rsidRPr="00AB4621" w:rsidRDefault="005C79B1" w:rsidP="008F1833">
      <w:pPr>
        <w:pStyle w:val="CETBodytext"/>
      </w:pPr>
      <w:r w:rsidRPr="00AB4621">
        <w:t xml:space="preserve">POH </w:t>
      </w:r>
      <w:r w:rsidRPr="00AB4621">
        <w:rPr>
          <w:rFonts w:eastAsia="SimSun"/>
        </w:rPr>
        <w:t xml:space="preserve">– </w:t>
      </w:r>
      <w:r w:rsidRPr="00AB4621">
        <w:t>Overhead</w:t>
      </w:r>
    </w:p>
    <w:p w14:paraId="2C9FF5AF" w14:textId="77777777" w:rsidR="008F1833" w:rsidRPr="00AB4621" w:rsidRDefault="005C79B1" w:rsidP="008F1833">
      <w:pPr>
        <w:pStyle w:val="CETBodytext"/>
      </w:pPr>
      <w:r w:rsidRPr="00AB4621">
        <w:t xml:space="preserve">GE </w:t>
      </w:r>
      <w:r w:rsidRPr="00AB4621">
        <w:rPr>
          <w:rFonts w:eastAsia="SimSun"/>
        </w:rPr>
        <w:t xml:space="preserve">– </w:t>
      </w:r>
      <w:r w:rsidRPr="00AB4621">
        <w:t>General expenses</w:t>
      </w:r>
    </w:p>
    <w:p w14:paraId="0FA10C79" w14:textId="77777777" w:rsidR="008F1833" w:rsidRPr="00AB4621" w:rsidRDefault="005C79B1" w:rsidP="008F1833">
      <w:pPr>
        <w:pStyle w:val="CETBodytext"/>
      </w:pPr>
      <w:r w:rsidRPr="00AB4621">
        <w:t xml:space="preserve">ACF </w:t>
      </w:r>
      <w:r w:rsidRPr="00AB4621">
        <w:rPr>
          <w:rFonts w:eastAsia="SimSun"/>
        </w:rPr>
        <w:t>–</w:t>
      </w:r>
      <w:r>
        <w:rPr>
          <w:rFonts w:eastAsia="SimSun"/>
        </w:rPr>
        <w:t xml:space="preserve"> </w:t>
      </w:r>
      <w:r w:rsidRPr="00AB4621">
        <w:t>Net profit for year n</w:t>
      </w:r>
    </w:p>
    <w:p w14:paraId="306845E4" w14:textId="77777777" w:rsidR="008F1833" w:rsidRPr="00AB4621" w:rsidRDefault="005C79B1" w:rsidP="008F1833">
      <w:pPr>
        <w:pStyle w:val="CETBodytext"/>
      </w:pPr>
      <w:r w:rsidRPr="00AB4621">
        <w:t xml:space="preserve">AOC </w:t>
      </w:r>
      <w:r w:rsidRPr="00AB4621">
        <w:rPr>
          <w:rFonts w:eastAsia="SimSun"/>
        </w:rPr>
        <w:t>–</w:t>
      </w:r>
      <w:r>
        <w:rPr>
          <w:rFonts w:eastAsia="SimSun"/>
        </w:rPr>
        <w:t xml:space="preserve"> </w:t>
      </w:r>
      <w:r w:rsidRPr="00AB4621">
        <w:t>Annualized operating costs</w:t>
      </w:r>
    </w:p>
    <w:p w14:paraId="2B4DFDB1" w14:textId="77777777" w:rsidR="008F1833" w:rsidRPr="00AB4621" w:rsidRDefault="005C79B1" w:rsidP="008F1833">
      <w:pPr>
        <w:pStyle w:val="CETBodytext"/>
      </w:pPr>
      <w:r w:rsidRPr="00AB4621">
        <w:t xml:space="preserve">PAT </w:t>
      </w:r>
      <w:r w:rsidRPr="00AB4621">
        <w:rPr>
          <w:rFonts w:eastAsia="SimSun"/>
        </w:rPr>
        <w:t>–</w:t>
      </w:r>
      <w:r>
        <w:rPr>
          <w:rFonts w:eastAsia="SimSun"/>
        </w:rPr>
        <w:t xml:space="preserve"> </w:t>
      </w:r>
      <w:r w:rsidRPr="00AB4621">
        <w:t>Profit after taxes</w:t>
      </w:r>
    </w:p>
    <w:p w14:paraId="6A0A3C2D" w14:textId="77777777" w:rsidR="008F1833" w:rsidRPr="00AB4621" w:rsidRDefault="005C79B1" w:rsidP="008F1833">
      <w:pPr>
        <w:pStyle w:val="CETBodytext"/>
      </w:pPr>
      <w:r w:rsidRPr="00AB4621">
        <w:t xml:space="preserve">CCF </w:t>
      </w:r>
      <w:r w:rsidRPr="00AB4621">
        <w:rPr>
          <w:rFonts w:eastAsia="SimSun"/>
        </w:rPr>
        <w:t>–</w:t>
      </w:r>
      <w:r>
        <w:rPr>
          <w:rFonts w:eastAsia="SimSun"/>
        </w:rPr>
        <w:t xml:space="preserve"> </w:t>
      </w:r>
      <w:r w:rsidRPr="00AB4621">
        <w:t>Cumulative cash flow</w:t>
      </w:r>
    </w:p>
    <w:p w14:paraId="25B37220" w14:textId="77777777" w:rsidR="008F1833" w:rsidRPr="00AB4621" w:rsidRDefault="005C79B1" w:rsidP="008F1833">
      <w:pPr>
        <w:pStyle w:val="CETBodytext"/>
      </w:pPr>
      <w:r w:rsidRPr="00AB4621">
        <w:t xml:space="preserve">ACR </w:t>
      </w:r>
      <w:r w:rsidRPr="00AB4621">
        <w:rPr>
          <w:rFonts w:eastAsia="SimSun"/>
        </w:rPr>
        <w:t>–</w:t>
      </w:r>
      <w:r>
        <w:rPr>
          <w:rFonts w:eastAsia="SimSun"/>
        </w:rPr>
        <w:t xml:space="preserve"> </w:t>
      </w:r>
      <w:r w:rsidRPr="00AB4621">
        <w:t>Annual cost/benefit ratio</w:t>
      </w:r>
    </w:p>
    <w:p w14:paraId="702DFF0D" w14:textId="77777777" w:rsidR="008F1833" w:rsidRPr="00AB4621" w:rsidRDefault="005C79B1" w:rsidP="008F1833">
      <w:pPr>
        <w:pStyle w:val="CETBodytext"/>
      </w:pPr>
      <w:r w:rsidRPr="00AB4621">
        <w:t xml:space="preserve">n </w:t>
      </w:r>
      <w:r w:rsidRPr="00AB4621">
        <w:rPr>
          <w:rFonts w:eastAsia="SimSun"/>
        </w:rPr>
        <w:t>–</w:t>
      </w:r>
      <w:r>
        <w:rPr>
          <w:rFonts w:eastAsia="SimSun"/>
        </w:rPr>
        <w:t xml:space="preserve"> </w:t>
      </w:r>
      <w:r w:rsidRPr="00AB4621">
        <w:t>Years</w:t>
      </w:r>
    </w:p>
    <w:p w14:paraId="2F9E963A" w14:textId="77777777" w:rsidR="008F1833" w:rsidRPr="00AB4621" w:rsidRDefault="005C79B1" w:rsidP="008F1833">
      <w:pPr>
        <w:pStyle w:val="CETBodytext"/>
      </w:pPr>
      <w:r w:rsidRPr="00AB4621">
        <w:t xml:space="preserve">i </w:t>
      </w:r>
      <w:r w:rsidRPr="00AB4621">
        <w:rPr>
          <w:rFonts w:eastAsia="SimSun"/>
        </w:rPr>
        <w:t>–</w:t>
      </w:r>
      <w:r>
        <w:rPr>
          <w:rFonts w:eastAsia="SimSun"/>
        </w:rPr>
        <w:t xml:space="preserve"> </w:t>
      </w:r>
      <w:r w:rsidRPr="00AB4621">
        <w:t>Inflation rate</w:t>
      </w:r>
    </w:p>
    <w:p w14:paraId="71F5F653" w14:textId="77777777" w:rsidR="008F1833" w:rsidRPr="00AB4621" w:rsidRDefault="005C79B1" w:rsidP="008F1833">
      <w:pPr>
        <w:pStyle w:val="CETBodytext"/>
      </w:pPr>
      <w:proofErr w:type="spellStart"/>
      <w:r w:rsidRPr="00AB4621">
        <w:t>itr</w:t>
      </w:r>
      <w:proofErr w:type="spellEnd"/>
      <w:r w:rsidRPr="00AB4621">
        <w:t xml:space="preserve"> </w:t>
      </w:r>
      <w:r w:rsidRPr="00AB4621">
        <w:rPr>
          <w:rFonts w:eastAsia="SimSun"/>
        </w:rPr>
        <w:t>–</w:t>
      </w:r>
      <w:r>
        <w:rPr>
          <w:rFonts w:eastAsia="SimSun"/>
        </w:rPr>
        <w:t xml:space="preserve"> </w:t>
      </w:r>
      <w:r w:rsidRPr="00AB4621">
        <w:t>Tax rate set by the government for income derived from the process</w:t>
      </w:r>
    </w:p>
    <w:p w14:paraId="03F7C465" w14:textId="77777777" w:rsidR="008F1833" w:rsidRPr="00AB4621" w:rsidRDefault="00F106C8" w:rsidP="008F1833">
      <w:pPr>
        <w:pStyle w:val="CETBodytext"/>
      </w:pPr>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i</m:t>
            </m:r>
          </m:sub>
        </m:sSub>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i</m:t>
            </m:r>
          </m:sub>
          <m:sup>
            <m:r>
              <m:rPr>
                <m:sty m:val="bi"/>
              </m:rPr>
              <w:rPr>
                <w:rFonts w:ascii="Cambria Math" w:hAnsi="Cambria Math"/>
              </w:rPr>
              <m:t>v</m:t>
            </m:r>
          </m:sup>
        </m:sSubSup>
      </m:oMath>
      <w:r w:rsidR="005C79B1" w:rsidRPr="00AB4621">
        <w:t xml:space="preserve"> </w:t>
      </w:r>
      <w:r w:rsidR="005C79B1" w:rsidRPr="00AB4621">
        <w:rPr>
          <w:rFonts w:eastAsia="SimSun"/>
        </w:rPr>
        <w:t>–</w:t>
      </w:r>
      <w:r w:rsidR="005C79B1">
        <w:rPr>
          <w:rFonts w:eastAsia="SimSun"/>
        </w:rPr>
        <w:t xml:space="preserve"> </w:t>
      </w:r>
      <w:r w:rsidR="005C79B1" w:rsidRPr="00AB4621">
        <w:t>Product of product flow rate and selling price</w:t>
      </w:r>
    </w:p>
    <w:p w14:paraId="5335FC14" w14:textId="77777777" w:rsidR="008F1833" w:rsidRPr="00475572" w:rsidRDefault="00F106C8" w:rsidP="008F1833">
      <w:pPr>
        <w:pStyle w:val="CETBodytext"/>
      </w:pPr>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RM</m:t>
            </m:r>
          </m:sub>
        </m:sSub>
      </m:oMath>
      <w:r w:rsidR="005C79B1">
        <w:t xml:space="preserve"> </w:t>
      </w:r>
      <w:r w:rsidR="005C79B1" w:rsidRPr="00AB4621">
        <w:rPr>
          <w:rFonts w:eastAsia="SimSun"/>
        </w:rPr>
        <w:t>–</w:t>
      </w:r>
      <w:r w:rsidR="005C79B1">
        <w:rPr>
          <w:rFonts w:eastAsia="SimSun"/>
        </w:rPr>
        <w:t xml:space="preserve"> </w:t>
      </w:r>
      <w:r w:rsidR="005C79B1">
        <w:t>Main raw material</w:t>
      </w:r>
    </w:p>
    <w:p w14:paraId="59147D9B" w14:textId="77777777" w:rsidR="008F1833" w:rsidRPr="00ED113D" w:rsidRDefault="008F1833" w:rsidP="00243E95">
      <w:pPr>
        <w:pStyle w:val="CETBodytext"/>
        <w:sectPr w:rsidR="008F1833" w:rsidRPr="00ED113D" w:rsidSect="006E544A">
          <w:type w:val="continuous"/>
          <w:pgSz w:w="11906" w:h="16838" w:code="9"/>
          <w:pgMar w:top="1701" w:right="1418" w:bottom="1701" w:left="1701" w:header="1701" w:footer="0" w:gutter="0"/>
          <w:cols w:num="3" w:space="708"/>
          <w:formProt w:val="0"/>
          <w:titlePg/>
          <w:docGrid w:linePitch="360"/>
        </w:sectPr>
      </w:pPr>
    </w:p>
    <w:p w14:paraId="27932052" w14:textId="77777777" w:rsidR="000613FE" w:rsidRPr="001A25E3" w:rsidRDefault="005C79B1" w:rsidP="00F97890">
      <w:pPr>
        <w:pStyle w:val="CETAcknowledgementstitle"/>
        <w:rPr>
          <w:rFonts w:eastAsiaTheme="minorHAnsi"/>
        </w:rPr>
      </w:pPr>
      <w:r w:rsidRPr="001A25E3">
        <w:rPr>
          <w:rFonts w:eastAsiaTheme="minorHAnsi"/>
        </w:rPr>
        <w:t>Acknowledgments</w:t>
      </w:r>
      <w:r>
        <w:rPr>
          <w:rFonts w:eastAsiaTheme="minorHAnsi"/>
        </w:rPr>
        <w:tab/>
      </w:r>
    </w:p>
    <w:p w14:paraId="340F5045" w14:textId="77777777" w:rsidR="00D65087" w:rsidRPr="00DC3D75" w:rsidRDefault="00D65087" w:rsidP="00D65087">
      <w:pPr>
        <w:pStyle w:val="CETBodytext"/>
        <w:rPr>
          <w:rFonts w:eastAsiaTheme="minorHAnsi"/>
        </w:rPr>
      </w:pPr>
      <w:r w:rsidRPr="00F72BE3">
        <w:rPr>
          <w:rFonts w:eastAsiaTheme="minorHAnsi"/>
        </w:rPr>
        <w:t>Authors thank to University of Cartagena</w:t>
      </w:r>
      <w:r>
        <w:rPr>
          <w:rFonts w:eastAsiaTheme="minorHAnsi"/>
        </w:rPr>
        <w:t>, the Colombian National Planning Department and the Colombian Ministry of Science, Technology and Innovation (MINCIENCIAS)</w:t>
      </w:r>
      <w:r w:rsidRPr="00F72BE3">
        <w:rPr>
          <w:rFonts w:eastAsiaTheme="minorHAnsi"/>
        </w:rPr>
        <w:t xml:space="preserve"> for the supply of equipment and software necessary to conclude</w:t>
      </w:r>
      <w:r>
        <w:rPr>
          <w:rFonts w:eastAsiaTheme="minorHAnsi"/>
        </w:rPr>
        <w:t xml:space="preserve"> </w:t>
      </w:r>
      <w:r w:rsidRPr="00DC3D75">
        <w:rPr>
          <w:rFonts w:eastAsiaTheme="minorHAnsi"/>
        </w:rPr>
        <w:t>successfully this work via P</w:t>
      </w:r>
      <w:r>
        <w:rPr>
          <w:rFonts w:eastAsiaTheme="minorHAnsi"/>
        </w:rPr>
        <w:t>roject BPIN Code 2020000100325</w:t>
      </w:r>
      <w:r w:rsidRPr="00DC3D75">
        <w:rPr>
          <w:rFonts w:eastAsiaTheme="minorHAnsi"/>
        </w:rPr>
        <w:t>.</w:t>
      </w:r>
      <w:r w:rsidRPr="00DC3D75">
        <w:rPr>
          <w:rFonts w:eastAsiaTheme="minorHAnsi"/>
        </w:rPr>
        <w:tab/>
      </w:r>
    </w:p>
    <w:p w14:paraId="60E951B4" w14:textId="77777777" w:rsidR="001D3ADE" w:rsidRPr="00AB4621" w:rsidRDefault="001D3ADE" w:rsidP="00AB4621">
      <w:pPr>
        <w:pStyle w:val="CETBodytext"/>
        <w:rPr>
          <w:b/>
          <w:bCs/>
        </w:rPr>
      </w:pPr>
    </w:p>
    <w:p w14:paraId="71F046D2" w14:textId="77777777" w:rsidR="000613FE" w:rsidRPr="00666578" w:rsidRDefault="005C79B1" w:rsidP="000613FE">
      <w:pPr>
        <w:pStyle w:val="CETBodytext"/>
        <w:spacing w:line="22" w:lineRule="atLeast"/>
        <w:rPr>
          <w:rFonts w:cs="Arial"/>
          <w:b/>
          <w:bCs/>
          <w:szCs w:val="18"/>
          <w:lang w:val="es-CO"/>
        </w:rPr>
      </w:pPr>
      <w:proofErr w:type="spellStart"/>
      <w:r w:rsidRPr="00666578">
        <w:rPr>
          <w:rFonts w:cs="Arial"/>
          <w:b/>
          <w:bCs/>
          <w:szCs w:val="18"/>
          <w:lang w:val="es-CO"/>
        </w:rPr>
        <w:t>References</w:t>
      </w:r>
      <w:proofErr w:type="spellEnd"/>
    </w:p>
    <w:p w14:paraId="29D9DDBA" w14:textId="77777777" w:rsidR="00F37234" w:rsidRPr="00666578" w:rsidRDefault="00F37234" w:rsidP="000613FE">
      <w:pPr>
        <w:pStyle w:val="CETBodytext"/>
        <w:spacing w:line="22" w:lineRule="atLeast"/>
        <w:rPr>
          <w:rFonts w:cs="Arial"/>
          <w:b/>
          <w:bCs/>
          <w:szCs w:val="18"/>
          <w:lang w:val="es-CO"/>
        </w:rPr>
      </w:pPr>
    </w:p>
    <w:p w14:paraId="261BF0BA" w14:textId="77777777" w:rsidR="00F37234" w:rsidRPr="00666578" w:rsidRDefault="005C79B1" w:rsidP="008A0346">
      <w:pPr>
        <w:pStyle w:val="CETReferencetext"/>
        <w:rPr>
          <w:noProof/>
          <w:lang w:val="es-CO"/>
        </w:rPr>
      </w:pPr>
      <w:r w:rsidRPr="00666578">
        <w:rPr>
          <w:noProof/>
          <w:lang w:val="es-CO"/>
        </w:rPr>
        <w:t>Acero M., Barone V., 2019, Impuesto Sobre La Renta. https://www.ppulegal.com/insights/prensa/ii-impuesto-de-renta-para-personas-juridicas/ (Ago 6, 2021).</w:t>
      </w:r>
    </w:p>
    <w:p w14:paraId="54CC5FCC" w14:textId="77777777" w:rsidR="00F37234" w:rsidRPr="00666578" w:rsidRDefault="005C79B1" w:rsidP="008A0346">
      <w:pPr>
        <w:pStyle w:val="CETReferencetext"/>
        <w:rPr>
          <w:noProof/>
          <w:lang w:val="es-CO"/>
        </w:rPr>
      </w:pPr>
      <w:r w:rsidRPr="00666578">
        <w:rPr>
          <w:noProof/>
          <w:lang w:val="es-CO"/>
        </w:rPr>
        <w:t>Burbano O., 2019, West Indian Avocado Agroforestry Systems in Montes de María (Colombia): A Conceptual Model of the Production System, Revista Chapingo, Serie Horticultura 25(2): 75–102.</w:t>
      </w:r>
    </w:p>
    <w:p w14:paraId="3F83FA56" w14:textId="05B60E50" w:rsidR="00F37234" w:rsidRPr="001D3ADE" w:rsidRDefault="005C79B1" w:rsidP="008A0346">
      <w:pPr>
        <w:pStyle w:val="CETReferencetext"/>
        <w:rPr>
          <w:noProof/>
        </w:rPr>
      </w:pPr>
      <w:r w:rsidRPr="001D3ADE">
        <w:rPr>
          <w:noProof/>
        </w:rPr>
        <w:t>Campbell</w:t>
      </w:r>
      <w:r>
        <w:rPr>
          <w:noProof/>
        </w:rPr>
        <w:t xml:space="preserve"> R.,</w:t>
      </w:r>
      <w:r w:rsidRPr="001D3ADE">
        <w:rPr>
          <w:noProof/>
        </w:rPr>
        <w:t>Anderson</w:t>
      </w:r>
      <w:r>
        <w:rPr>
          <w:noProof/>
        </w:rPr>
        <w:t xml:space="preserve"> N.</w:t>
      </w:r>
      <w:r w:rsidRPr="001D3ADE">
        <w:rPr>
          <w:noProof/>
        </w:rPr>
        <w:t>,Daugaard</w:t>
      </w:r>
      <w:r>
        <w:rPr>
          <w:noProof/>
        </w:rPr>
        <w:t xml:space="preserve"> D.</w:t>
      </w:r>
      <w:r w:rsidRPr="001D3ADE">
        <w:rPr>
          <w:noProof/>
        </w:rPr>
        <w:t>, Naughton</w:t>
      </w:r>
      <w:r>
        <w:rPr>
          <w:noProof/>
        </w:rPr>
        <w:t xml:space="preserve"> H</w:t>
      </w:r>
      <w:r w:rsidRPr="001D3ADE">
        <w:rPr>
          <w:noProof/>
        </w:rPr>
        <w:t>.</w:t>
      </w:r>
      <w:r>
        <w:rPr>
          <w:noProof/>
        </w:rPr>
        <w:t>,</w:t>
      </w:r>
      <w:r w:rsidRPr="001D3ADE">
        <w:rPr>
          <w:noProof/>
        </w:rPr>
        <w:t xml:space="preserve"> 2018</w:t>
      </w:r>
      <w:r>
        <w:rPr>
          <w:noProof/>
        </w:rPr>
        <w:t xml:space="preserve">, </w:t>
      </w:r>
      <w:r w:rsidRPr="001D3ADE">
        <w:rPr>
          <w:noProof/>
        </w:rPr>
        <w:t>Financial Viability of Biofuel and Biochar Production from Forest Biomass in the Face of Market Price Volatility and Uncertainty</w:t>
      </w:r>
      <w:r>
        <w:rPr>
          <w:noProof/>
        </w:rPr>
        <w:t xml:space="preserve">, </w:t>
      </w:r>
      <w:r w:rsidRPr="005F5B70">
        <w:rPr>
          <w:noProof/>
        </w:rPr>
        <w:t>Applied Energy</w:t>
      </w:r>
      <w:r>
        <w:rPr>
          <w:noProof/>
        </w:rPr>
        <w:t xml:space="preserve">, </w:t>
      </w:r>
      <w:r w:rsidRPr="001D3ADE">
        <w:rPr>
          <w:noProof/>
        </w:rPr>
        <w:t>230: 330–43.</w:t>
      </w:r>
    </w:p>
    <w:p w14:paraId="45279E4B" w14:textId="598C5B57" w:rsidR="00F37234" w:rsidRDefault="005C79B1" w:rsidP="008A0346">
      <w:pPr>
        <w:pStyle w:val="CETReferencetext"/>
        <w:rPr>
          <w:noProof/>
        </w:rPr>
      </w:pPr>
      <w:r w:rsidRPr="005F5B70">
        <w:rPr>
          <w:noProof/>
          <w:lang w:val="en-US"/>
        </w:rPr>
        <w:t>Corzzini S., Barros H., Grimaldi R., Cabral F., 2017,</w:t>
      </w:r>
      <w:r>
        <w:rPr>
          <w:noProof/>
          <w:lang w:val="en-US"/>
        </w:rPr>
        <w:t xml:space="preserve"> </w:t>
      </w:r>
      <w:r w:rsidRPr="001D3ADE">
        <w:rPr>
          <w:noProof/>
        </w:rPr>
        <w:t>Extraction of Edible Avocado Oil Using Supercritical CO2 and a CO2/Ethanol Mixture as Solvents</w:t>
      </w:r>
      <w:r>
        <w:rPr>
          <w:noProof/>
        </w:rPr>
        <w:t>,</w:t>
      </w:r>
      <w:r w:rsidRPr="001D3ADE">
        <w:rPr>
          <w:noProof/>
        </w:rPr>
        <w:t xml:space="preserve"> </w:t>
      </w:r>
      <w:r w:rsidRPr="00011CC5">
        <w:rPr>
          <w:noProof/>
        </w:rPr>
        <w:t>Journal of Food Engineering</w:t>
      </w:r>
      <w:r>
        <w:rPr>
          <w:noProof/>
        </w:rPr>
        <w:t>,</w:t>
      </w:r>
      <w:r w:rsidRPr="00011CC5">
        <w:rPr>
          <w:noProof/>
        </w:rPr>
        <w:t xml:space="preserve"> </w:t>
      </w:r>
      <w:r w:rsidRPr="001D3ADE">
        <w:rPr>
          <w:noProof/>
        </w:rPr>
        <w:t>194: 40–45.</w:t>
      </w:r>
    </w:p>
    <w:p w14:paraId="1F8B463A" w14:textId="77777777" w:rsidR="0085431F" w:rsidRPr="0085431F" w:rsidRDefault="0085431F" w:rsidP="008A0346">
      <w:pPr>
        <w:pStyle w:val="CETReferencetext"/>
        <w:rPr>
          <w:lang w:val="en-US"/>
        </w:rPr>
      </w:pPr>
      <w:r>
        <w:rPr>
          <w:noProof/>
        </w:rPr>
        <w:t xml:space="preserve">Crowley D., 2012, </w:t>
      </w:r>
      <w:r w:rsidRPr="0085431F">
        <w:rPr>
          <w:rFonts w:eastAsiaTheme="minorHAnsi"/>
        </w:rPr>
        <w:t>Biochar as a Soil Amendment for</w:t>
      </w:r>
      <w:r>
        <w:rPr>
          <w:rFonts w:eastAsiaTheme="minorHAnsi"/>
        </w:rPr>
        <w:t xml:space="preserve"> </w:t>
      </w:r>
      <w:r w:rsidRPr="0085431F">
        <w:rPr>
          <w:rFonts w:eastAsiaTheme="minorHAnsi"/>
        </w:rPr>
        <w:t>Avocado Production</w:t>
      </w:r>
      <w:r>
        <w:rPr>
          <w:rFonts w:eastAsiaTheme="minorHAnsi" w:cs="Arial"/>
          <w:sz w:val="16"/>
          <w:szCs w:val="16"/>
          <w:lang w:val="en-US"/>
        </w:rPr>
        <w:t xml:space="preserve">, </w:t>
      </w:r>
      <w:r w:rsidRPr="0085431F">
        <w:rPr>
          <w:rFonts w:eastAsiaTheme="minorHAnsi"/>
          <w:lang w:val="en-US"/>
        </w:rPr>
        <w:t>California Avocado Society 95:44-61</w:t>
      </w:r>
      <w:r>
        <w:rPr>
          <w:rFonts w:eastAsiaTheme="minorHAnsi"/>
          <w:lang w:val="en-US"/>
        </w:rPr>
        <w:t>.</w:t>
      </w:r>
    </w:p>
    <w:p w14:paraId="1BF0700D" w14:textId="2C7E2795" w:rsidR="00F37234" w:rsidRDefault="005C79B1" w:rsidP="008A0346">
      <w:pPr>
        <w:pStyle w:val="CETReferencetext"/>
        <w:rPr>
          <w:lang w:val="es-CO"/>
        </w:rPr>
      </w:pPr>
      <w:r w:rsidRPr="001D3ADE">
        <w:rPr>
          <w:lang w:val="es-CO"/>
        </w:rPr>
        <w:t>DANE, 2015</w:t>
      </w:r>
      <w:r>
        <w:rPr>
          <w:lang w:val="es-CO"/>
        </w:rPr>
        <w:t>,</w:t>
      </w:r>
      <w:r w:rsidRPr="001D3ADE">
        <w:rPr>
          <w:lang w:val="es-CO"/>
        </w:rPr>
        <w:t xml:space="preserve"> El cultivo del aguacate (Persea americana Miller.), fruta de extraordinarias propiedades alimenticias, curativas e industriales (Primera parte), Boletín mensual </w:t>
      </w:r>
      <w:r w:rsidR="006748C7" w:rsidRPr="001D3ADE">
        <w:rPr>
          <w:lang w:val="es-CO"/>
        </w:rPr>
        <w:t>Insumos.</w:t>
      </w:r>
    </w:p>
    <w:p w14:paraId="72075D2A" w14:textId="77777777" w:rsidR="00F37234" w:rsidRDefault="005C79B1" w:rsidP="008A0346">
      <w:pPr>
        <w:pStyle w:val="CETReferencetext"/>
        <w:rPr>
          <w:color w:val="000000"/>
          <w:lang w:val="es-CO"/>
        </w:rPr>
      </w:pPr>
      <w:proofErr w:type="spellStart"/>
      <w:r w:rsidRPr="001D3ADE">
        <w:rPr>
          <w:color w:val="000000"/>
          <w:lang w:val="es-CO"/>
        </w:rPr>
        <w:t>Durak</w:t>
      </w:r>
      <w:proofErr w:type="spellEnd"/>
      <w:r>
        <w:rPr>
          <w:color w:val="000000"/>
          <w:lang w:val="es-CO"/>
        </w:rPr>
        <w:t xml:space="preserve"> </w:t>
      </w:r>
      <w:r w:rsidRPr="001D3ADE">
        <w:rPr>
          <w:color w:val="000000"/>
          <w:lang w:val="es-CO"/>
        </w:rPr>
        <w:t>H</w:t>
      </w:r>
      <w:r>
        <w:rPr>
          <w:color w:val="000000"/>
          <w:lang w:val="es-CO"/>
        </w:rPr>
        <w:t>.,</w:t>
      </w:r>
      <w:r w:rsidRPr="001D3ADE">
        <w:rPr>
          <w:color w:val="000000"/>
          <w:lang w:val="es-CO"/>
        </w:rPr>
        <w:t xml:space="preserve"> </w:t>
      </w:r>
      <w:proofErr w:type="spellStart"/>
      <w:r w:rsidRPr="001D3ADE">
        <w:rPr>
          <w:color w:val="000000"/>
          <w:lang w:val="es-CO"/>
        </w:rPr>
        <w:t>Ays</w:t>
      </w:r>
      <w:r>
        <w:rPr>
          <w:color w:val="000000"/>
          <w:lang w:val="es-CO"/>
        </w:rPr>
        <w:t>u</w:t>
      </w:r>
      <w:proofErr w:type="spellEnd"/>
      <w:r w:rsidRPr="001D3ADE">
        <w:rPr>
          <w:color w:val="000000"/>
          <w:lang w:val="es-CO"/>
        </w:rPr>
        <w:t xml:space="preserve"> T.</w:t>
      </w:r>
      <w:r>
        <w:rPr>
          <w:color w:val="000000"/>
          <w:lang w:val="es-CO"/>
        </w:rPr>
        <w:t>,</w:t>
      </w:r>
      <w:r w:rsidRPr="001D3ADE">
        <w:rPr>
          <w:color w:val="000000"/>
          <w:lang w:val="es-CO"/>
        </w:rPr>
        <w:t xml:space="preserve"> 2014</w:t>
      </w:r>
      <w:r>
        <w:rPr>
          <w:color w:val="000000"/>
          <w:lang w:val="es-CO"/>
        </w:rPr>
        <w:t>,</w:t>
      </w:r>
      <w:r w:rsidRPr="001D3ADE">
        <w:rPr>
          <w:color w:val="000000"/>
          <w:lang w:val="es-CO"/>
        </w:rPr>
        <w:t> </w:t>
      </w:r>
      <w:r w:rsidRPr="00011CC5">
        <w:rPr>
          <w:color w:val="000000"/>
          <w:lang w:val="es-CO"/>
        </w:rPr>
        <w:t>Efecto de la temperatura de pirólisis y el catalizador sobre la producción de bioaceite y biocarbón a partir de semillas de aguacate</w:t>
      </w:r>
      <w:r>
        <w:rPr>
          <w:color w:val="000000"/>
          <w:lang w:val="es-CO"/>
        </w:rPr>
        <w:t xml:space="preserve">, </w:t>
      </w:r>
      <w:r w:rsidRPr="00011CC5">
        <w:rPr>
          <w:color w:val="000000"/>
          <w:lang w:val="es-CO"/>
        </w:rPr>
        <w:t>Investigación sobre productos químicos intermedios</w:t>
      </w:r>
      <w:r w:rsidRPr="001D3ADE">
        <w:rPr>
          <w:i/>
          <w:iCs/>
          <w:color w:val="000000"/>
          <w:lang w:val="es-CO"/>
        </w:rPr>
        <w:t xml:space="preserve">, </w:t>
      </w:r>
      <w:r w:rsidRPr="00011CC5">
        <w:rPr>
          <w:color w:val="000000"/>
          <w:lang w:val="es-CO"/>
        </w:rPr>
        <w:t>41 (11)</w:t>
      </w:r>
      <w:r>
        <w:rPr>
          <w:i/>
          <w:iCs/>
          <w:color w:val="000000"/>
          <w:lang w:val="es-CO"/>
        </w:rPr>
        <w:t>.</w:t>
      </w:r>
    </w:p>
    <w:p w14:paraId="1F8E082D" w14:textId="657C36DE" w:rsidR="00F37234" w:rsidRDefault="005C79B1" w:rsidP="008A0346">
      <w:pPr>
        <w:pStyle w:val="CETReferencetext"/>
        <w:rPr>
          <w:noProof/>
          <w:szCs w:val="24"/>
        </w:rPr>
      </w:pPr>
      <w:r w:rsidRPr="00011CC5">
        <w:rPr>
          <w:noProof/>
          <w:szCs w:val="24"/>
          <w:lang w:val="en-US"/>
        </w:rPr>
        <w:t>Homagain K.</w:t>
      </w:r>
      <w:r>
        <w:rPr>
          <w:noProof/>
          <w:szCs w:val="24"/>
          <w:lang w:val="en-US"/>
        </w:rPr>
        <w:t>,</w:t>
      </w:r>
      <w:r w:rsidRPr="00011CC5">
        <w:rPr>
          <w:noProof/>
          <w:szCs w:val="24"/>
          <w:lang w:val="en-US"/>
        </w:rPr>
        <w:t xml:space="preserve"> Shahi</w:t>
      </w:r>
      <w:r>
        <w:rPr>
          <w:noProof/>
          <w:szCs w:val="24"/>
          <w:lang w:val="en-US"/>
        </w:rPr>
        <w:t xml:space="preserve"> C.</w:t>
      </w:r>
      <w:r w:rsidRPr="00011CC5">
        <w:rPr>
          <w:noProof/>
          <w:szCs w:val="24"/>
          <w:lang w:val="en-US"/>
        </w:rPr>
        <w:t>, Lucka</w:t>
      </w:r>
      <w:r>
        <w:rPr>
          <w:noProof/>
          <w:szCs w:val="24"/>
          <w:lang w:val="en-US"/>
        </w:rPr>
        <w:t>i N.,</w:t>
      </w:r>
      <w:r w:rsidRPr="00011CC5">
        <w:rPr>
          <w:noProof/>
          <w:szCs w:val="24"/>
          <w:lang w:val="en-US"/>
        </w:rPr>
        <w:t xml:space="preserve"> Sharma</w:t>
      </w:r>
      <w:r>
        <w:rPr>
          <w:noProof/>
          <w:szCs w:val="24"/>
          <w:lang w:val="en-US"/>
        </w:rPr>
        <w:t xml:space="preserve"> M., </w:t>
      </w:r>
      <w:r w:rsidRPr="0048388D">
        <w:rPr>
          <w:noProof/>
          <w:szCs w:val="24"/>
        </w:rPr>
        <w:t>2016</w:t>
      </w:r>
      <w:r>
        <w:rPr>
          <w:noProof/>
          <w:szCs w:val="24"/>
        </w:rPr>
        <w:t xml:space="preserve">, </w:t>
      </w:r>
      <w:r w:rsidRPr="0048388D">
        <w:rPr>
          <w:noProof/>
          <w:szCs w:val="24"/>
        </w:rPr>
        <w:t>Life Cycle Cost and Economic Assessment of Biochar-Based Bioenergy Production and Biochar Land Application in Northwestern Ontario, Canada</w:t>
      </w:r>
      <w:r>
        <w:rPr>
          <w:noProof/>
          <w:szCs w:val="24"/>
        </w:rPr>
        <w:t xml:space="preserve">, </w:t>
      </w:r>
      <w:r w:rsidRPr="00863E82">
        <w:rPr>
          <w:noProof/>
          <w:szCs w:val="24"/>
        </w:rPr>
        <w:t xml:space="preserve">Forest Ecosystems </w:t>
      </w:r>
      <w:r w:rsidRPr="0048388D">
        <w:rPr>
          <w:noProof/>
          <w:szCs w:val="24"/>
        </w:rPr>
        <w:t xml:space="preserve">3(1): 1–10. </w:t>
      </w:r>
    </w:p>
    <w:p w14:paraId="1145DB02" w14:textId="77777777" w:rsidR="006748C7" w:rsidRPr="006748C7" w:rsidRDefault="006748C7" w:rsidP="008A0346">
      <w:pPr>
        <w:pStyle w:val="CETReferencetext"/>
        <w:rPr>
          <w:lang w:val="es-CO"/>
        </w:rPr>
      </w:pPr>
      <w:r w:rsidRPr="006748C7">
        <w:rPr>
          <w:lang w:val="es-CO"/>
        </w:rPr>
        <w:t>Mo</w:t>
      </w:r>
      <w:r>
        <w:rPr>
          <w:lang w:val="es-CO"/>
        </w:rPr>
        <w:t xml:space="preserve">nsalve C., Ramos Y., 2019, </w:t>
      </w:r>
      <w:r w:rsidRPr="006748C7">
        <w:rPr>
          <w:lang w:val="es-CO"/>
        </w:rPr>
        <w:t xml:space="preserve">Estudio de </w:t>
      </w:r>
      <w:proofErr w:type="spellStart"/>
      <w:r w:rsidRPr="006748C7">
        <w:rPr>
          <w:lang w:val="es-CO"/>
        </w:rPr>
        <w:t>pre-factibilidad</w:t>
      </w:r>
      <w:proofErr w:type="spellEnd"/>
      <w:r w:rsidRPr="006748C7">
        <w:rPr>
          <w:lang w:val="es-CO"/>
        </w:rPr>
        <w:t xml:space="preserve"> en la cadena productiva del aguacate para aprovechamiento de residuos del fruto en la industria cosmética</w:t>
      </w:r>
      <w:r>
        <w:rPr>
          <w:lang w:val="es-CO"/>
        </w:rPr>
        <w:t xml:space="preserve">, </w:t>
      </w:r>
      <w:r w:rsidRPr="006748C7">
        <w:rPr>
          <w:lang w:val="es-CO"/>
        </w:rPr>
        <w:t>Universitaria Agustiniana</w:t>
      </w:r>
      <w:r>
        <w:rPr>
          <w:lang w:val="es-CO"/>
        </w:rPr>
        <w:t>.</w:t>
      </w:r>
    </w:p>
    <w:p w14:paraId="26DC59D3" w14:textId="359F7719" w:rsidR="00F37234" w:rsidRPr="00863E82" w:rsidRDefault="005C79B1" w:rsidP="008A0346">
      <w:pPr>
        <w:pStyle w:val="CETReferencetext"/>
        <w:rPr>
          <w:noProof/>
          <w:szCs w:val="24"/>
          <w:lang w:val="es-CO"/>
        </w:rPr>
      </w:pPr>
      <w:r w:rsidRPr="00863E82">
        <w:rPr>
          <w:noProof/>
          <w:szCs w:val="24"/>
          <w:lang w:val="es-CO"/>
        </w:rPr>
        <w:t>Perez</w:t>
      </w:r>
      <w:r w:rsidR="00042146">
        <w:rPr>
          <w:noProof/>
          <w:szCs w:val="24"/>
          <w:lang w:val="es-CO"/>
        </w:rPr>
        <w:t xml:space="preserve"> </w:t>
      </w:r>
      <w:r w:rsidRPr="00863E82">
        <w:rPr>
          <w:noProof/>
          <w:szCs w:val="24"/>
          <w:lang w:val="es-CO"/>
        </w:rPr>
        <w:t>M</w:t>
      </w:r>
      <w:r>
        <w:rPr>
          <w:noProof/>
          <w:szCs w:val="24"/>
          <w:lang w:val="es-CO"/>
        </w:rPr>
        <w:t>.</w:t>
      </w:r>
      <w:r w:rsidRPr="00863E82">
        <w:rPr>
          <w:noProof/>
          <w:szCs w:val="24"/>
          <w:lang w:val="es-CO"/>
        </w:rPr>
        <w:t>, Rodriguez</w:t>
      </w:r>
      <w:r>
        <w:rPr>
          <w:noProof/>
          <w:szCs w:val="24"/>
          <w:lang w:val="es-CO"/>
        </w:rPr>
        <w:t xml:space="preserve"> R.</w:t>
      </w:r>
      <w:r w:rsidRPr="00863E82">
        <w:rPr>
          <w:noProof/>
          <w:szCs w:val="24"/>
          <w:lang w:val="es-CO"/>
        </w:rPr>
        <w:t>, Santos</w:t>
      </w:r>
      <w:r>
        <w:rPr>
          <w:noProof/>
          <w:szCs w:val="24"/>
          <w:lang w:val="es-CO"/>
        </w:rPr>
        <w:t xml:space="preserve"> A.,</w:t>
      </w:r>
      <w:r w:rsidRPr="00863E82">
        <w:rPr>
          <w:noProof/>
          <w:szCs w:val="24"/>
          <w:lang w:val="es-CO"/>
        </w:rPr>
        <w:t xml:space="preserve"> 202</w:t>
      </w:r>
      <w:r>
        <w:rPr>
          <w:noProof/>
          <w:szCs w:val="24"/>
          <w:lang w:val="es-CO"/>
        </w:rPr>
        <w:t xml:space="preserve">1, </w:t>
      </w:r>
      <w:r w:rsidRPr="00863E82">
        <w:rPr>
          <w:noProof/>
          <w:szCs w:val="24"/>
          <w:lang w:val="es-CO"/>
        </w:rPr>
        <w:t>Estudio de Factibilidad Del Proceso de Producción Sostenible de Aceite de Aguacate (Persea Americana Miller) Para Uso En La Industria de Cosméticos</w:t>
      </w:r>
      <w:r>
        <w:rPr>
          <w:noProof/>
          <w:szCs w:val="24"/>
          <w:lang w:val="es-CO"/>
        </w:rPr>
        <w:t xml:space="preserve">, </w:t>
      </w:r>
      <w:r w:rsidRPr="00863E82">
        <w:rPr>
          <w:noProof/>
          <w:szCs w:val="24"/>
          <w:lang w:val="es-CO"/>
        </w:rPr>
        <w:t>Universidad de El Salvador</w:t>
      </w:r>
      <w:r>
        <w:rPr>
          <w:noProof/>
          <w:szCs w:val="24"/>
          <w:lang w:val="es-CO"/>
        </w:rPr>
        <w:t>.</w:t>
      </w:r>
    </w:p>
    <w:p w14:paraId="6E6EC552" w14:textId="58963A70" w:rsidR="00F37234" w:rsidRDefault="005C79B1" w:rsidP="008A0346">
      <w:pPr>
        <w:pStyle w:val="CETReferencetext"/>
        <w:rPr>
          <w:noProof/>
          <w:szCs w:val="24"/>
        </w:rPr>
      </w:pPr>
      <w:r w:rsidRPr="00863E82">
        <w:rPr>
          <w:noProof/>
          <w:szCs w:val="24"/>
          <w:lang w:val="en-US"/>
        </w:rPr>
        <w:t>Poveda J., Piedrahita S., Cardona C., 2021</w:t>
      </w:r>
      <w:r>
        <w:rPr>
          <w:noProof/>
          <w:szCs w:val="24"/>
          <w:lang w:val="en-US"/>
        </w:rPr>
        <w:t xml:space="preserve">, </w:t>
      </w:r>
      <w:r w:rsidRPr="0048388D">
        <w:rPr>
          <w:noProof/>
          <w:szCs w:val="24"/>
        </w:rPr>
        <w:t>Life Cycle Analysis of Biotechnological Processes Based on the Composition of the Raw Material. Eucalyptus, Avocado, and Plantain Cases in a Biorefinery System</w:t>
      </w:r>
      <w:r>
        <w:rPr>
          <w:noProof/>
          <w:szCs w:val="24"/>
        </w:rPr>
        <w:t xml:space="preserve">, </w:t>
      </w:r>
      <w:r w:rsidRPr="00863E82">
        <w:rPr>
          <w:noProof/>
          <w:szCs w:val="24"/>
        </w:rPr>
        <w:t>Chemical Engineering Transactions</w:t>
      </w:r>
      <w:r>
        <w:rPr>
          <w:noProof/>
          <w:szCs w:val="24"/>
        </w:rPr>
        <w:t>,</w:t>
      </w:r>
      <w:r w:rsidRPr="00863E82">
        <w:rPr>
          <w:noProof/>
          <w:szCs w:val="24"/>
        </w:rPr>
        <w:t xml:space="preserve"> </w:t>
      </w:r>
      <w:r w:rsidRPr="0048388D">
        <w:rPr>
          <w:noProof/>
          <w:szCs w:val="24"/>
        </w:rPr>
        <w:t>83: 397–402.</w:t>
      </w:r>
    </w:p>
    <w:p w14:paraId="1B62666E" w14:textId="60F9CF08" w:rsidR="00940DB2" w:rsidRPr="00940DB2" w:rsidRDefault="00940DB2" w:rsidP="008A0346">
      <w:pPr>
        <w:pStyle w:val="CETReferencetext"/>
        <w:rPr>
          <w:rFonts w:cs="Arial"/>
          <w:noProof/>
          <w:szCs w:val="24"/>
          <w:lang w:val="es-CO"/>
        </w:rPr>
      </w:pPr>
      <w:r w:rsidRPr="00940DB2">
        <w:rPr>
          <w:rFonts w:cs="Arial"/>
          <w:noProof/>
          <w:szCs w:val="24"/>
          <w:lang w:val="es-CO"/>
        </w:rPr>
        <w:t>Riveros</w:t>
      </w:r>
      <w:r>
        <w:rPr>
          <w:rFonts w:cs="Arial"/>
          <w:noProof/>
          <w:szCs w:val="24"/>
          <w:lang w:val="es-CO"/>
        </w:rPr>
        <w:t xml:space="preserve"> </w:t>
      </w:r>
      <w:r w:rsidRPr="00940DB2">
        <w:rPr>
          <w:rFonts w:cs="Arial"/>
          <w:noProof/>
          <w:szCs w:val="24"/>
          <w:lang w:val="es-CO"/>
        </w:rPr>
        <w:t>Y</w:t>
      </w:r>
      <w:r>
        <w:rPr>
          <w:rFonts w:cs="Arial"/>
          <w:noProof/>
          <w:szCs w:val="24"/>
          <w:lang w:val="es-CO"/>
        </w:rPr>
        <w:t>.</w:t>
      </w:r>
      <w:r w:rsidRPr="00940DB2">
        <w:rPr>
          <w:rFonts w:cs="Arial"/>
          <w:noProof/>
          <w:szCs w:val="24"/>
          <w:lang w:val="es-CO"/>
        </w:rPr>
        <w:t>, Leal</w:t>
      </w:r>
      <w:r>
        <w:rPr>
          <w:rFonts w:cs="Arial"/>
          <w:noProof/>
          <w:szCs w:val="24"/>
          <w:lang w:val="es-CO"/>
        </w:rPr>
        <w:t xml:space="preserve"> L.,</w:t>
      </w:r>
      <w:r w:rsidRPr="00940DB2">
        <w:rPr>
          <w:rFonts w:cs="Arial"/>
          <w:noProof/>
          <w:szCs w:val="24"/>
          <w:lang w:val="es-CO"/>
        </w:rPr>
        <w:t xml:space="preserve"> 2016</w:t>
      </w:r>
      <w:r>
        <w:rPr>
          <w:rFonts w:cs="Arial"/>
          <w:noProof/>
          <w:szCs w:val="24"/>
          <w:lang w:val="es-CO"/>
        </w:rPr>
        <w:t>,</w:t>
      </w:r>
      <w:r w:rsidRPr="00940DB2">
        <w:rPr>
          <w:rFonts w:cs="Arial"/>
          <w:noProof/>
          <w:szCs w:val="24"/>
          <w:lang w:val="es-CO"/>
        </w:rPr>
        <w:t xml:space="preserve"> Proyecto de Pre Inversión Para La Creación de Una Planta Productora y Comercializadora de Aceite de Aguacate Gourmet En La Ciudad de Villavicencio</w:t>
      </w:r>
      <w:r>
        <w:rPr>
          <w:rFonts w:cs="Arial"/>
          <w:noProof/>
          <w:szCs w:val="24"/>
          <w:lang w:val="es-CO"/>
        </w:rPr>
        <w:t xml:space="preserve">, </w:t>
      </w:r>
      <w:r w:rsidRPr="00940DB2">
        <w:rPr>
          <w:rFonts w:cs="Arial"/>
          <w:noProof/>
          <w:szCs w:val="24"/>
          <w:lang w:val="es-CO"/>
        </w:rPr>
        <w:t>Universidad de los Llanos.</w:t>
      </w:r>
    </w:p>
    <w:p w14:paraId="2A94DA8B" w14:textId="77777777" w:rsidR="00F37234" w:rsidRPr="0048388D" w:rsidRDefault="005C79B1" w:rsidP="008A0346">
      <w:pPr>
        <w:pStyle w:val="CETReferencetext"/>
        <w:rPr>
          <w:noProof/>
          <w:szCs w:val="24"/>
        </w:rPr>
      </w:pPr>
      <w:r w:rsidRPr="0048388D">
        <w:rPr>
          <w:noProof/>
          <w:szCs w:val="24"/>
        </w:rPr>
        <w:t>Romero</w:t>
      </w:r>
      <w:r>
        <w:rPr>
          <w:noProof/>
          <w:szCs w:val="24"/>
        </w:rPr>
        <w:t xml:space="preserve"> </w:t>
      </w:r>
      <w:r w:rsidRPr="0048388D">
        <w:rPr>
          <w:noProof/>
          <w:szCs w:val="24"/>
        </w:rPr>
        <w:t>J.,</w:t>
      </w:r>
      <w:r>
        <w:rPr>
          <w:noProof/>
          <w:szCs w:val="24"/>
        </w:rPr>
        <w:t xml:space="preserve"> </w:t>
      </w:r>
      <w:r w:rsidRPr="0048388D">
        <w:rPr>
          <w:noProof/>
          <w:szCs w:val="24"/>
        </w:rPr>
        <w:t xml:space="preserve">Vergara </w:t>
      </w:r>
      <w:r>
        <w:rPr>
          <w:noProof/>
          <w:szCs w:val="24"/>
        </w:rPr>
        <w:t>L.</w:t>
      </w:r>
      <w:r w:rsidRPr="0048388D">
        <w:rPr>
          <w:noProof/>
          <w:szCs w:val="24"/>
        </w:rPr>
        <w:t>, Peralta</w:t>
      </w:r>
      <w:r>
        <w:rPr>
          <w:noProof/>
          <w:szCs w:val="24"/>
        </w:rPr>
        <w:t xml:space="preserve"> Y.</w:t>
      </w:r>
      <w:r w:rsidRPr="0048388D">
        <w:rPr>
          <w:noProof/>
          <w:szCs w:val="24"/>
        </w:rPr>
        <w:t>,</w:t>
      </w:r>
      <w:r>
        <w:rPr>
          <w:noProof/>
          <w:szCs w:val="24"/>
        </w:rPr>
        <w:t xml:space="preserve"> </w:t>
      </w:r>
      <w:r w:rsidRPr="0048388D">
        <w:rPr>
          <w:noProof/>
          <w:szCs w:val="24"/>
        </w:rPr>
        <w:t>González</w:t>
      </w:r>
      <w:r>
        <w:rPr>
          <w:noProof/>
          <w:szCs w:val="24"/>
        </w:rPr>
        <w:t xml:space="preserve"> A</w:t>
      </w:r>
      <w:r w:rsidRPr="0048388D">
        <w:rPr>
          <w:noProof/>
          <w:szCs w:val="24"/>
        </w:rPr>
        <w:t>.</w:t>
      </w:r>
      <w:r>
        <w:rPr>
          <w:noProof/>
          <w:szCs w:val="24"/>
        </w:rPr>
        <w:t>,</w:t>
      </w:r>
      <w:r w:rsidRPr="0048388D">
        <w:rPr>
          <w:noProof/>
          <w:szCs w:val="24"/>
        </w:rPr>
        <w:t xml:space="preserve"> 2017</w:t>
      </w:r>
      <w:r>
        <w:rPr>
          <w:noProof/>
          <w:szCs w:val="24"/>
        </w:rPr>
        <w:t xml:space="preserve">, </w:t>
      </w:r>
      <w:r w:rsidRPr="0048388D">
        <w:rPr>
          <w:noProof/>
          <w:szCs w:val="24"/>
        </w:rPr>
        <w:t>A Techno-Economic Sensitivity Approach for Development of a Palm-Based Biorefineries in Colombia</w:t>
      </w:r>
      <w:r>
        <w:rPr>
          <w:noProof/>
          <w:szCs w:val="24"/>
        </w:rPr>
        <w:t xml:space="preserve">, </w:t>
      </w:r>
      <w:r w:rsidRPr="00863E82">
        <w:rPr>
          <w:noProof/>
          <w:szCs w:val="24"/>
        </w:rPr>
        <w:t>Chemical Engineering Transactions</w:t>
      </w:r>
      <w:r>
        <w:rPr>
          <w:noProof/>
          <w:szCs w:val="24"/>
        </w:rPr>
        <w:t xml:space="preserve">, </w:t>
      </w:r>
      <w:r w:rsidRPr="0048388D">
        <w:rPr>
          <w:noProof/>
          <w:szCs w:val="24"/>
        </w:rPr>
        <w:t>57: 13–18.</w:t>
      </w:r>
    </w:p>
    <w:p w14:paraId="2B90D4CC" w14:textId="77777777" w:rsidR="00F37234" w:rsidRPr="0048388D" w:rsidRDefault="005C79B1" w:rsidP="008A0346">
      <w:pPr>
        <w:pStyle w:val="CETReferencetext"/>
        <w:rPr>
          <w:noProof/>
          <w:szCs w:val="24"/>
        </w:rPr>
      </w:pPr>
      <w:r w:rsidRPr="0048388D">
        <w:rPr>
          <w:noProof/>
          <w:szCs w:val="24"/>
        </w:rPr>
        <w:t>Solart</w:t>
      </w:r>
      <w:r>
        <w:rPr>
          <w:noProof/>
          <w:szCs w:val="24"/>
        </w:rPr>
        <w:t xml:space="preserve">e </w:t>
      </w:r>
      <w:r w:rsidRPr="0048388D">
        <w:rPr>
          <w:noProof/>
          <w:szCs w:val="24"/>
        </w:rPr>
        <w:t>J</w:t>
      </w:r>
      <w:r>
        <w:rPr>
          <w:noProof/>
          <w:szCs w:val="24"/>
        </w:rPr>
        <w:t>., Ortiz M., Restrepo D., Peroza P., Pérez A., Cardona C.,</w:t>
      </w:r>
      <w:r w:rsidRPr="0048388D">
        <w:rPr>
          <w:noProof/>
          <w:szCs w:val="24"/>
        </w:rPr>
        <w:t xml:space="preserve"> 202</w:t>
      </w:r>
      <w:r>
        <w:rPr>
          <w:noProof/>
          <w:szCs w:val="24"/>
        </w:rPr>
        <w:t xml:space="preserve">1, </w:t>
      </w:r>
      <w:r w:rsidRPr="0048388D">
        <w:rPr>
          <w:noProof/>
          <w:szCs w:val="24"/>
        </w:rPr>
        <w:t>Bioresource Technology Influence of Products Portfolio and Process Contextualization on the Economic Performance of Small- and Large-Scale Avocado Biorefineries</w:t>
      </w:r>
      <w:r>
        <w:rPr>
          <w:noProof/>
          <w:szCs w:val="24"/>
        </w:rPr>
        <w:t xml:space="preserve">, </w:t>
      </w:r>
      <w:r w:rsidRPr="00743324">
        <w:rPr>
          <w:noProof/>
          <w:szCs w:val="24"/>
        </w:rPr>
        <w:t>Bioresource Technology</w:t>
      </w:r>
      <w:r>
        <w:rPr>
          <w:noProof/>
          <w:szCs w:val="24"/>
        </w:rPr>
        <w:t>,</w:t>
      </w:r>
      <w:r w:rsidRPr="0048388D">
        <w:rPr>
          <w:noProof/>
          <w:szCs w:val="24"/>
        </w:rPr>
        <w:t>342</w:t>
      </w:r>
      <w:r>
        <w:rPr>
          <w:noProof/>
          <w:szCs w:val="24"/>
        </w:rPr>
        <w:t>: 1-9.</w:t>
      </w:r>
    </w:p>
    <w:p w14:paraId="6E4068D4" w14:textId="674CBA4E" w:rsidR="00F37234" w:rsidRDefault="005C79B1" w:rsidP="008A0346">
      <w:pPr>
        <w:pStyle w:val="CETReferencetext"/>
        <w:rPr>
          <w:noProof/>
        </w:rPr>
      </w:pPr>
      <w:r w:rsidRPr="0048388D">
        <w:rPr>
          <w:noProof/>
        </w:rPr>
        <w:t>THE WORLD BANK</w:t>
      </w:r>
      <w:r>
        <w:rPr>
          <w:noProof/>
        </w:rPr>
        <w:t>.,</w:t>
      </w:r>
      <w:r w:rsidRPr="0048388D">
        <w:rPr>
          <w:noProof/>
        </w:rPr>
        <w:t xml:space="preserve"> 2020</w:t>
      </w:r>
      <w:r>
        <w:rPr>
          <w:noProof/>
        </w:rPr>
        <w:t xml:space="preserve">, </w:t>
      </w:r>
      <w:r w:rsidRPr="0048388D">
        <w:rPr>
          <w:noProof/>
        </w:rPr>
        <w:t>Real Interest Rate (%)</w:t>
      </w:r>
      <w:r>
        <w:rPr>
          <w:noProof/>
        </w:rPr>
        <w:t>,</w:t>
      </w:r>
      <w:r w:rsidRPr="0048388D">
        <w:rPr>
          <w:noProof/>
        </w:rPr>
        <w:t xml:space="preserve"> https://data.worldbank.org/indicator/FR.INR.RINR</w:t>
      </w:r>
      <w:r>
        <w:rPr>
          <w:noProof/>
        </w:rPr>
        <w:t xml:space="preserve"> (A</w:t>
      </w:r>
      <w:r w:rsidR="00042146">
        <w:rPr>
          <w:noProof/>
        </w:rPr>
        <w:t>ug</w:t>
      </w:r>
      <w:r w:rsidRPr="0048388D">
        <w:rPr>
          <w:noProof/>
        </w:rPr>
        <w:t xml:space="preserve"> 6, 2021).</w:t>
      </w:r>
    </w:p>
    <w:p w14:paraId="173CAA1F" w14:textId="395D0696" w:rsidR="008A0346" w:rsidRDefault="005C79B1" w:rsidP="008A0346">
      <w:pPr>
        <w:pStyle w:val="CETReferencetext"/>
        <w:rPr>
          <w:noProof/>
        </w:rPr>
      </w:pPr>
      <w:r w:rsidRPr="001041C7">
        <w:rPr>
          <w:noProof/>
        </w:rPr>
        <w:t>Van Y., Jaromír J., Tin C., 2021</w:t>
      </w:r>
      <w:r>
        <w:rPr>
          <w:noProof/>
        </w:rPr>
        <w:t xml:space="preserve">, </w:t>
      </w:r>
      <w:r w:rsidRPr="0048388D">
        <w:rPr>
          <w:noProof/>
        </w:rPr>
        <w:t>Environmental Performance and Techno-Economic Feasibility of Different Biochar Applications: An Overview</w:t>
      </w:r>
      <w:r>
        <w:rPr>
          <w:noProof/>
        </w:rPr>
        <w:t>,</w:t>
      </w:r>
      <w:r w:rsidRPr="0048388D">
        <w:rPr>
          <w:noProof/>
        </w:rPr>
        <w:t xml:space="preserve"> </w:t>
      </w:r>
      <w:r w:rsidRPr="001041C7">
        <w:rPr>
          <w:noProof/>
        </w:rPr>
        <w:t>Chemical Engineering Transactions</w:t>
      </w:r>
      <w:r>
        <w:rPr>
          <w:noProof/>
        </w:rPr>
        <w:t>,</w:t>
      </w:r>
      <w:r w:rsidRPr="0048388D">
        <w:rPr>
          <w:noProof/>
        </w:rPr>
        <w:t>83: 469–74.</w:t>
      </w:r>
      <w:bookmarkEnd w:id="0"/>
    </w:p>
    <w:sectPr w:rsidR="008A0346" w:rsidSect="00EF06D9">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Light">
    <w:altName w:val="Segoe UI Light"/>
    <w:charset w:val="00"/>
    <w:family w:val="auto"/>
    <w:pitch w:val="default"/>
  </w:font>
  <w:font w:name="AdvP6960">
    <w:altName w:val="Cambria"/>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D1ECCC80">
      <w:start w:val="1"/>
      <w:numFmt w:val="bullet"/>
      <w:lvlText w:val=""/>
      <w:lvlJc w:val="left"/>
      <w:pPr>
        <w:ind w:left="720" w:hanging="360"/>
      </w:pPr>
      <w:rPr>
        <w:rFonts w:ascii="Symbol" w:hAnsi="Symbol" w:hint="default"/>
      </w:rPr>
    </w:lvl>
    <w:lvl w:ilvl="1" w:tplc="E23239E0" w:tentative="1">
      <w:start w:val="1"/>
      <w:numFmt w:val="bullet"/>
      <w:lvlText w:val="o"/>
      <w:lvlJc w:val="left"/>
      <w:pPr>
        <w:ind w:left="1440" w:hanging="360"/>
      </w:pPr>
      <w:rPr>
        <w:rFonts w:ascii="Courier New" w:hAnsi="Courier New" w:cs="Courier New" w:hint="default"/>
      </w:rPr>
    </w:lvl>
    <w:lvl w:ilvl="2" w:tplc="C4185A78" w:tentative="1">
      <w:start w:val="1"/>
      <w:numFmt w:val="bullet"/>
      <w:lvlText w:val=""/>
      <w:lvlJc w:val="left"/>
      <w:pPr>
        <w:ind w:left="2160" w:hanging="360"/>
      </w:pPr>
      <w:rPr>
        <w:rFonts w:ascii="Wingdings" w:hAnsi="Wingdings" w:hint="default"/>
      </w:rPr>
    </w:lvl>
    <w:lvl w:ilvl="3" w:tplc="2BF60C48" w:tentative="1">
      <w:start w:val="1"/>
      <w:numFmt w:val="bullet"/>
      <w:lvlText w:val=""/>
      <w:lvlJc w:val="left"/>
      <w:pPr>
        <w:ind w:left="2880" w:hanging="360"/>
      </w:pPr>
      <w:rPr>
        <w:rFonts w:ascii="Symbol" w:hAnsi="Symbol" w:hint="default"/>
      </w:rPr>
    </w:lvl>
    <w:lvl w:ilvl="4" w:tplc="79DA1222" w:tentative="1">
      <w:start w:val="1"/>
      <w:numFmt w:val="bullet"/>
      <w:lvlText w:val="o"/>
      <w:lvlJc w:val="left"/>
      <w:pPr>
        <w:ind w:left="3600" w:hanging="360"/>
      </w:pPr>
      <w:rPr>
        <w:rFonts w:ascii="Courier New" w:hAnsi="Courier New" w:cs="Courier New" w:hint="default"/>
      </w:rPr>
    </w:lvl>
    <w:lvl w:ilvl="5" w:tplc="E786A8E6" w:tentative="1">
      <w:start w:val="1"/>
      <w:numFmt w:val="bullet"/>
      <w:lvlText w:val=""/>
      <w:lvlJc w:val="left"/>
      <w:pPr>
        <w:ind w:left="4320" w:hanging="360"/>
      </w:pPr>
      <w:rPr>
        <w:rFonts w:ascii="Wingdings" w:hAnsi="Wingdings" w:hint="default"/>
      </w:rPr>
    </w:lvl>
    <w:lvl w:ilvl="6" w:tplc="1B8E588C" w:tentative="1">
      <w:start w:val="1"/>
      <w:numFmt w:val="bullet"/>
      <w:lvlText w:val=""/>
      <w:lvlJc w:val="left"/>
      <w:pPr>
        <w:ind w:left="5040" w:hanging="360"/>
      </w:pPr>
      <w:rPr>
        <w:rFonts w:ascii="Symbol" w:hAnsi="Symbol" w:hint="default"/>
      </w:rPr>
    </w:lvl>
    <w:lvl w:ilvl="7" w:tplc="5DD4E986" w:tentative="1">
      <w:start w:val="1"/>
      <w:numFmt w:val="bullet"/>
      <w:lvlText w:val="o"/>
      <w:lvlJc w:val="left"/>
      <w:pPr>
        <w:ind w:left="5760" w:hanging="360"/>
      </w:pPr>
      <w:rPr>
        <w:rFonts w:ascii="Courier New" w:hAnsi="Courier New" w:cs="Courier New" w:hint="default"/>
      </w:rPr>
    </w:lvl>
    <w:lvl w:ilvl="8" w:tplc="4CB04B88"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29D65B60">
      <w:start w:val="1"/>
      <w:numFmt w:val="bullet"/>
      <w:pStyle w:val="CETnumberingbullets"/>
      <w:lvlText w:val=""/>
      <w:lvlJc w:val="left"/>
      <w:pPr>
        <w:ind w:left="340" w:hanging="227"/>
      </w:pPr>
      <w:rPr>
        <w:rFonts w:ascii="Symbol" w:hAnsi="Symbol" w:hint="default"/>
      </w:rPr>
    </w:lvl>
    <w:lvl w:ilvl="1" w:tplc="0730382E" w:tentative="1">
      <w:start w:val="1"/>
      <w:numFmt w:val="bullet"/>
      <w:lvlText w:val="o"/>
      <w:lvlJc w:val="left"/>
      <w:pPr>
        <w:ind w:left="1440" w:hanging="360"/>
      </w:pPr>
      <w:rPr>
        <w:rFonts w:ascii="Courier New" w:hAnsi="Courier New" w:cs="Courier New" w:hint="default"/>
      </w:rPr>
    </w:lvl>
    <w:lvl w:ilvl="2" w:tplc="969457B2" w:tentative="1">
      <w:start w:val="1"/>
      <w:numFmt w:val="bullet"/>
      <w:lvlText w:val=""/>
      <w:lvlJc w:val="left"/>
      <w:pPr>
        <w:ind w:left="2160" w:hanging="360"/>
      </w:pPr>
      <w:rPr>
        <w:rFonts w:ascii="Wingdings" w:hAnsi="Wingdings" w:hint="default"/>
      </w:rPr>
    </w:lvl>
    <w:lvl w:ilvl="3" w:tplc="DC2C08EE" w:tentative="1">
      <w:start w:val="1"/>
      <w:numFmt w:val="bullet"/>
      <w:lvlText w:val=""/>
      <w:lvlJc w:val="left"/>
      <w:pPr>
        <w:ind w:left="2880" w:hanging="360"/>
      </w:pPr>
      <w:rPr>
        <w:rFonts w:ascii="Symbol" w:hAnsi="Symbol" w:hint="default"/>
      </w:rPr>
    </w:lvl>
    <w:lvl w:ilvl="4" w:tplc="F1BC7136" w:tentative="1">
      <w:start w:val="1"/>
      <w:numFmt w:val="bullet"/>
      <w:lvlText w:val="o"/>
      <w:lvlJc w:val="left"/>
      <w:pPr>
        <w:ind w:left="3600" w:hanging="360"/>
      </w:pPr>
      <w:rPr>
        <w:rFonts w:ascii="Courier New" w:hAnsi="Courier New" w:cs="Courier New" w:hint="default"/>
      </w:rPr>
    </w:lvl>
    <w:lvl w:ilvl="5" w:tplc="A364A044" w:tentative="1">
      <w:start w:val="1"/>
      <w:numFmt w:val="bullet"/>
      <w:lvlText w:val=""/>
      <w:lvlJc w:val="left"/>
      <w:pPr>
        <w:ind w:left="4320" w:hanging="360"/>
      </w:pPr>
      <w:rPr>
        <w:rFonts w:ascii="Wingdings" w:hAnsi="Wingdings" w:hint="default"/>
      </w:rPr>
    </w:lvl>
    <w:lvl w:ilvl="6" w:tplc="E09EB338" w:tentative="1">
      <w:start w:val="1"/>
      <w:numFmt w:val="bullet"/>
      <w:lvlText w:val=""/>
      <w:lvlJc w:val="left"/>
      <w:pPr>
        <w:ind w:left="5040" w:hanging="360"/>
      </w:pPr>
      <w:rPr>
        <w:rFonts w:ascii="Symbol" w:hAnsi="Symbol" w:hint="default"/>
      </w:rPr>
    </w:lvl>
    <w:lvl w:ilvl="7" w:tplc="DF627780" w:tentative="1">
      <w:start w:val="1"/>
      <w:numFmt w:val="bullet"/>
      <w:lvlText w:val="o"/>
      <w:lvlJc w:val="left"/>
      <w:pPr>
        <w:ind w:left="5760" w:hanging="360"/>
      </w:pPr>
      <w:rPr>
        <w:rFonts w:ascii="Courier New" w:hAnsi="Courier New" w:cs="Courier New" w:hint="default"/>
      </w:rPr>
    </w:lvl>
    <w:lvl w:ilvl="8" w:tplc="FC6450DA"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E556B72E">
      <w:start w:val="1"/>
      <w:numFmt w:val="bullet"/>
      <w:lvlText w:val=""/>
      <w:lvlJc w:val="left"/>
      <w:pPr>
        <w:ind w:left="720" w:hanging="360"/>
      </w:pPr>
      <w:rPr>
        <w:rFonts w:ascii="Symbol" w:hAnsi="Symbol" w:hint="default"/>
      </w:rPr>
    </w:lvl>
    <w:lvl w:ilvl="1" w:tplc="04B00C34" w:tentative="1">
      <w:start w:val="1"/>
      <w:numFmt w:val="bullet"/>
      <w:lvlText w:val="o"/>
      <w:lvlJc w:val="left"/>
      <w:pPr>
        <w:ind w:left="1440" w:hanging="360"/>
      </w:pPr>
      <w:rPr>
        <w:rFonts w:ascii="Courier New" w:hAnsi="Courier New" w:cs="Courier New" w:hint="default"/>
      </w:rPr>
    </w:lvl>
    <w:lvl w:ilvl="2" w:tplc="827AE224" w:tentative="1">
      <w:start w:val="1"/>
      <w:numFmt w:val="bullet"/>
      <w:lvlText w:val=""/>
      <w:lvlJc w:val="left"/>
      <w:pPr>
        <w:ind w:left="2160" w:hanging="360"/>
      </w:pPr>
      <w:rPr>
        <w:rFonts w:ascii="Wingdings" w:hAnsi="Wingdings" w:hint="default"/>
      </w:rPr>
    </w:lvl>
    <w:lvl w:ilvl="3" w:tplc="238CF7BA" w:tentative="1">
      <w:start w:val="1"/>
      <w:numFmt w:val="bullet"/>
      <w:lvlText w:val=""/>
      <w:lvlJc w:val="left"/>
      <w:pPr>
        <w:ind w:left="2880" w:hanging="360"/>
      </w:pPr>
      <w:rPr>
        <w:rFonts w:ascii="Symbol" w:hAnsi="Symbol" w:hint="default"/>
      </w:rPr>
    </w:lvl>
    <w:lvl w:ilvl="4" w:tplc="438A5F50" w:tentative="1">
      <w:start w:val="1"/>
      <w:numFmt w:val="bullet"/>
      <w:lvlText w:val="o"/>
      <w:lvlJc w:val="left"/>
      <w:pPr>
        <w:ind w:left="3600" w:hanging="360"/>
      </w:pPr>
      <w:rPr>
        <w:rFonts w:ascii="Courier New" w:hAnsi="Courier New" w:cs="Courier New" w:hint="default"/>
      </w:rPr>
    </w:lvl>
    <w:lvl w:ilvl="5" w:tplc="E58CA70A" w:tentative="1">
      <w:start w:val="1"/>
      <w:numFmt w:val="bullet"/>
      <w:lvlText w:val=""/>
      <w:lvlJc w:val="left"/>
      <w:pPr>
        <w:ind w:left="4320" w:hanging="360"/>
      </w:pPr>
      <w:rPr>
        <w:rFonts w:ascii="Wingdings" w:hAnsi="Wingdings" w:hint="default"/>
      </w:rPr>
    </w:lvl>
    <w:lvl w:ilvl="6" w:tplc="D582844C" w:tentative="1">
      <w:start w:val="1"/>
      <w:numFmt w:val="bullet"/>
      <w:lvlText w:val=""/>
      <w:lvlJc w:val="left"/>
      <w:pPr>
        <w:ind w:left="5040" w:hanging="360"/>
      </w:pPr>
      <w:rPr>
        <w:rFonts w:ascii="Symbol" w:hAnsi="Symbol" w:hint="default"/>
      </w:rPr>
    </w:lvl>
    <w:lvl w:ilvl="7" w:tplc="CEB0C896" w:tentative="1">
      <w:start w:val="1"/>
      <w:numFmt w:val="bullet"/>
      <w:lvlText w:val="o"/>
      <w:lvlJc w:val="left"/>
      <w:pPr>
        <w:ind w:left="5760" w:hanging="360"/>
      </w:pPr>
      <w:rPr>
        <w:rFonts w:ascii="Courier New" w:hAnsi="Courier New" w:cs="Courier New" w:hint="default"/>
      </w:rPr>
    </w:lvl>
    <w:lvl w:ilvl="8" w:tplc="C6206D06"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B4943694">
      <w:start w:val="1"/>
      <w:numFmt w:val="decimal"/>
      <w:lvlText w:val="%1)"/>
      <w:lvlJc w:val="left"/>
      <w:pPr>
        <w:ind w:left="720" w:hanging="360"/>
      </w:pPr>
      <w:rPr>
        <w:rFonts w:hint="default"/>
      </w:rPr>
    </w:lvl>
    <w:lvl w:ilvl="1" w:tplc="4148E890" w:tentative="1">
      <w:start w:val="1"/>
      <w:numFmt w:val="lowerLetter"/>
      <w:lvlText w:val="%2."/>
      <w:lvlJc w:val="left"/>
      <w:pPr>
        <w:ind w:left="1440" w:hanging="360"/>
      </w:pPr>
    </w:lvl>
    <w:lvl w:ilvl="2" w:tplc="60447630" w:tentative="1">
      <w:start w:val="1"/>
      <w:numFmt w:val="lowerRoman"/>
      <w:lvlText w:val="%3."/>
      <w:lvlJc w:val="right"/>
      <w:pPr>
        <w:ind w:left="2160" w:hanging="180"/>
      </w:pPr>
    </w:lvl>
    <w:lvl w:ilvl="3" w:tplc="7F5EDAAC" w:tentative="1">
      <w:start w:val="1"/>
      <w:numFmt w:val="decimal"/>
      <w:lvlText w:val="%4."/>
      <w:lvlJc w:val="left"/>
      <w:pPr>
        <w:ind w:left="2880" w:hanging="360"/>
      </w:pPr>
    </w:lvl>
    <w:lvl w:ilvl="4" w:tplc="8EC8127E" w:tentative="1">
      <w:start w:val="1"/>
      <w:numFmt w:val="lowerLetter"/>
      <w:lvlText w:val="%5."/>
      <w:lvlJc w:val="left"/>
      <w:pPr>
        <w:ind w:left="3600" w:hanging="360"/>
      </w:pPr>
    </w:lvl>
    <w:lvl w:ilvl="5" w:tplc="B99C12C6" w:tentative="1">
      <w:start w:val="1"/>
      <w:numFmt w:val="lowerRoman"/>
      <w:lvlText w:val="%6."/>
      <w:lvlJc w:val="right"/>
      <w:pPr>
        <w:ind w:left="4320" w:hanging="180"/>
      </w:pPr>
    </w:lvl>
    <w:lvl w:ilvl="6" w:tplc="978428C6" w:tentative="1">
      <w:start w:val="1"/>
      <w:numFmt w:val="decimal"/>
      <w:lvlText w:val="%7."/>
      <w:lvlJc w:val="left"/>
      <w:pPr>
        <w:ind w:left="5040" w:hanging="360"/>
      </w:pPr>
    </w:lvl>
    <w:lvl w:ilvl="7" w:tplc="A7C00078" w:tentative="1">
      <w:start w:val="1"/>
      <w:numFmt w:val="lowerLetter"/>
      <w:lvlText w:val="%8."/>
      <w:lvlJc w:val="left"/>
      <w:pPr>
        <w:ind w:left="5760" w:hanging="360"/>
      </w:pPr>
    </w:lvl>
    <w:lvl w:ilvl="8" w:tplc="739476B2" w:tentative="1">
      <w:start w:val="1"/>
      <w:numFmt w:val="lowerRoman"/>
      <w:lvlText w:val="%9."/>
      <w:lvlJc w:val="right"/>
      <w:pPr>
        <w:ind w:left="6480" w:hanging="180"/>
      </w:pPr>
    </w:lvl>
  </w:abstractNum>
  <w:abstractNum w:abstractNumId="15" w15:restartNumberingAfterBreak="0">
    <w:nsid w:val="461E3E28"/>
    <w:multiLevelType w:val="hybridMultilevel"/>
    <w:tmpl w:val="6B228934"/>
    <w:lvl w:ilvl="0" w:tplc="47781D96">
      <w:start w:val="1"/>
      <w:numFmt w:val="bullet"/>
      <w:lvlText w:val=""/>
      <w:lvlJc w:val="left"/>
      <w:pPr>
        <w:ind w:left="360" w:hanging="360"/>
      </w:pPr>
      <w:rPr>
        <w:rFonts w:ascii="Symbol" w:hAnsi="Symbol" w:cs="Symbol" w:hint="default"/>
      </w:rPr>
    </w:lvl>
    <w:lvl w:ilvl="1" w:tplc="88B4025A" w:tentative="1">
      <w:start w:val="1"/>
      <w:numFmt w:val="bullet"/>
      <w:lvlText w:val="o"/>
      <w:lvlJc w:val="left"/>
      <w:pPr>
        <w:ind w:left="1080" w:hanging="360"/>
      </w:pPr>
      <w:rPr>
        <w:rFonts w:ascii="Courier New" w:hAnsi="Courier New" w:cs="Courier New" w:hint="default"/>
      </w:rPr>
    </w:lvl>
    <w:lvl w:ilvl="2" w:tplc="8BE452F4" w:tentative="1">
      <w:start w:val="1"/>
      <w:numFmt w:val="bullet"/>
      <w:lvlText w:val=""/>
      <w:lvlJc w:val="left"/>
      <w:pPr>
        <w:ind w:left="1800" w:hanging="360"/>
      </w:pPr>
      <w:rPr>
        <w:rFonts w:ascii="Wingdings" w:hAnsi="Wingdings" w:hint="default"/>
      </w:rPr>
    </w:lvl>
    <w:lvl w:ilvl="3" w:tplc="D8C4905C" w:tentative="1">
      <w:start w:val="1"/>
      <w:numFmt w:val="bullet"/>
      <w:lvlText w:val=""/>
      <w:lvlJc w:val="left"/>
      <w:pPr>
        <w:ind w:left="2520" w:hanging="360"/>
      </w:pPr>
      <w:rPr>
        <w:rFonts w:ascii="Symbol" w:hAnsi="Symbol" w:hint="default"/>
      </w:rPr>
    </w:lvl>
    <w:lvl w:ilvl="4" w:tplc="86481C5C" w:tentative="1">
      <w:start w:val="1"/>
      <w:numFmt w:val="bullet"/>
      <w:lvlText w:val="o"/>
      <w:lvlJc w:val="left"/>
      <w:pPr>
        <w:ind w:left="3240" w:hanging="360"/>
      </w:pPr>
      <w:rPr>
        <w:rFonts w:ascii="Courier New" w:hAnsi="Courier New" w:cs="Courier New" w:hint="default"/>
      </w:rPr>
    </w:lvl>
    <w:lvl w:ilvl="5" w:tplc="35DE0C8A" w:tentative="1">
      <w:start w:val="1"/>
      <w:numFmt w:val="bullet"/>
      <w:lvlText w:val=""/>
      <w:lvlJc w:val="left"/>
      <w:pPr>
        <w:ind w:left="3960" w:hanging="360"/>
      </w:pPr>
      <w:rPr>
        <w:rFonts w:ascii="Wingdings" w:hAnsi="Wingdings" w:hint="default"/>
      </w:rPr>
    </w:lvl>
    <w:lvl w:ilvl="6" w:tplc="7FBA6240" w:tentative="1">
      <w:start w:val="1"/>
      <w:numFmt w:val="bullet"/>
      <w:lvlText w:val=""/>
      <w:lvlJc w:val="left"/>
      <w:pPr>
        <w:ind w:left="4680" w:hanging="360"/>
      </w:pPr>
      <w:rPr>
        <w:rFonts w:ascii="Symbol" w:hAnsi="Symbol" w:hint="default"/>
      </w:rPr>
    </w:lvl>
    <w:lvl w:ilvl="7" w:tplc="8EC0C038" w:tentative="1">
      <w:start w:val="1"/>
      <w:numFmt w:val="bullet"/>
      <w:lvlText w:val="o"/>
      <w:lvlJc w:val="left"/>
      <w:pPr>
        <w:ind w:left="5400" w:hanging="360"/>
      </w:pPr>
      <w:rPr>
        <w:rFonts w:ascii="Courier New" w:hAnsi="Courier New" w:cs="Courier New" w:hint="default"/>
      </w:rPr>
    </w:lvl>
    <w:lvl w:ilvl="8" w:tplc="B0C632F8" w:tentative="1">
      <w:start w:val="1"/>
      <w:numFmt w:val="bullet"/>
      <w:lvlText w:val=""/>
      <w:lvlJc w:val="left"/>
      <w:pPr>
        <w:ind w:left="6120" w:hanging="360"/>
      </w:pPr>
      <w:rPr>
        <w:rFonts w:ascii="Wingdings" w:hAnsi="Wingdings" w:hint="default"/>
      </w:rPr>
    </w:lvl>
  </w:abstractNum>
  <w:abstractNum w:abstractNumId="16" w15:restartNumberingAfterBreak="0">
    <w:nsid w:val="50A87BA7"/>
    <w:multiLevelType w:val="hybridMultilevel"/>
    <w:tmpl w:val="1F6A8AD4"/>
    <w:lvl w:ilvl="0" w:tplc="CC32514C">
      <w:start w:val="1"/>
      <w:numFmt w:val="bullet"/>
      <w:lvlText w:val=""/>
      <w:lvlJc w:val="left"/>
      <w:pPr>
        <w:ind w:left="340" w:hanging="227"/>
      </w:pPr>
      <w:rPr>
        <w:rFonts w:ascii="Symbol" w:hAnsi="Symbol" w:hint="default"/>
      </w:rPr>
    </w:lvl>
    <w:lvl w:ilvl="1" w:tplc="420C186A" w:tentative="1">
      <w:start w:val="1"/>
      <w:numFmt w:val="bullet"/>
      <w:lvlText w:val="o"/>
      <w:lvlJc w:val="left"/>
      <w:pPr>
        <w:ind w:left="1440" w:hanging="360"/>
      </w:pPr>
      <w:rPr>
        <w:rFonts w:ascii="Courier New" w:hAnsi="Courier New" w:cs="Courier New" w:hint="default"/>
      </w:rPr>
    </w:lvl>
    <w:lvl w:ilvl="2" w:tplc="0DF27F7C" w:tentative="1">
      <w:start w:val="1"/>
      <w:numFmt w:val="bullet"/>
      <w:lvlText w:val=""/>
      <w:lvlJc w:val="left"/>
      <w:pPr>
        <w:ind w:left="2160" w:hanging="360"/>
      </w:pPr>
      <w:rPr>
        <w:rFonts w:ascii="Wingdings" w:hAnsi="Wingdings" w:hint="default"/>
      </w:rPr>
    </w:lvl>
    <w:lvl w:ilvl="3" w:tplc="1C705CFC" w:tentative="1">
      <w:start w:val="1"/>
      <w:numFmt w:val="bullet"/>
      <w:lvlText w:val=""/>
      <w:lvlJc w:val="left"/>
      <w:pPr>
        <w:ind w:left="2880" w:hanging="360"/>
      </w:pPr>
      <w:rPr>
        <w:rFonts w:ascii="Symbol" w:hAnsi="Symbol" w:hint="default"/>
      </w:rPr>
    </w:lvl>
    <w:lvl w:ilvl="4" w:tplc="C294212E" w:tentative="1">
      <w:start w:val="1"/>
      <w:numFmt w:val="bullet"/>
      <w:lvlText w:val="o"/>
      <w:lvlJc w:val="left"/>
      <w:pPr>
        <w:ind w:left="3600" w:hanging="360"/>
      </w:pPr>
      <w:rPr>
        <w:rFonts w:ascii="Courier New" w:hAnsi="Courier New" w:cs="Courier New" w:hint="default"/>
      </w:rPr>
    </w:lvl>
    <w:lvl w:ilvl="5" w:tplc="354CF94E" w:tentative="1">
      <w:start w:val="1"/>
      <w:numFmt w:val="bullet"/>
      <w:lvlText w:val=""/>
      <w:lvlJc w:val="left"/>
      <w:pPr>
        <w:ind w:left="4320" w:hanging="360"/>
      </w:pPr>
      <w:rPr>
        <w:rFonts w:ascii="Wingdings" w:hAnsi="Wingdings" w:hint="default"/>
      </w:rPr>
    </w:lvl>
    <w:lvl w:ilvl="6" w:tplc="E316411A" w:tentative="1">
      <w:start w:val="1"/>
      <w:numFmt w:val="bullet"/>
      <w:lvlText w:val=""/>
      <w:lvlJc w:val="left"/>
      <w:pPr>
        <w:ind w:left="5040" w:hanging="360"/>
      </w:pPr>
      <w:rPr>
        <w:rFonts w:ascii="Symbol" w:hAnsi="Symbol" w:hint="default"/>
      </w:rPr>
    </w:lvl>
    <w:lvl w:ilvl="7" w:tplc="0812E998" w:tentative="1">
      <w:start w:val="1"/>
      <w:numFmt w:val="bullet"/>
      <w:lvlText w:val="o"/>
      <w:lvlJc w:val="left"/>
      <w:pPr>
        <w:ind w:left="5760" w:hanging="360"/>
      </w:pPr>
      <w:rPr>
        <w:rFonts w:ascii="Courier New" w:hAnsi="Courier New" w:cs="Courier New" w:hint="default"/>
      </w:rPr>
    </w:lvl>
    <w:lvl w:ilvl="8" w:tplc="20863CDA"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C4EE75A4">
      <w:start w:val="1"/>
      <w:numFmt w:val="decimal"/>
      <w:lvlText w:val="%1)"/>
      <w:lvlJc w:val="left"/>
      <w:pPr>
        <w:ind w:left="340" w:hanging="227"/>
      </w:pPr>
      <w:rPr>
        <w:rFonts w:hint="default"/>
      </w:rPr>
    </w:lvl>
    <w:lvl w:ilvl="1" w:tplc="8F18037E" w:tentative="1">
      <w:start w:val="1"/>
      <w:numFmt w:val="bullet"/>
      <w:lvlText w:val="o"/>
      <w:lvlJc w:val="left"/>
      <w:pPr>
        <w:ind w:left="1440" w:hanging="360"/>
      </w:pPr>
      <w:rPr>
        <w:rFonts w:ascii="Courier New" w:hAnsi="Courier New" w:cs="Courier New" w:hint="default"/>
      </w:rPr>
    </w:lvl>
    <w:lvl w:ilvl="2" w:tplc="3FB8C072" w:tentative="1">
      <w:start w:val="1"/>
      <w:numFmt w:val="bullet"/>
      <w:lvlText w:val=""/>
      <w:lvlJc w:val="left"/>
      <w:pPr>
        <w:ind w:left="2160" w:hanging="360"/>
      </w:pPr>
      <w:rPr>
        <w:rFonts w:ascii="Wingdings" w:hAnsi="Wingdings" w:hint="default"/>
      </w:rPr>
    </w:lvl>
    <w:lvl w:ilvl="3" w:tplc="6DC4798C" w:tentative="1">
      <w:start w:val="1"/>
      <w:numFmt w:val="bullet"/>
      <w:lvlText w:val=""/>
      <w:lvlJc w:val="left"/>
      <w:pPr>
        <w:ind w:left="2880" w:hanging="360"/>
      </w:pPr>
      <w:rPr>
        <w:rFonts w:ascii="Symbol" w:hAnsi="Symbol" w:hint="default"/>
      </w:rPr>
    </w:lvl>
    <w:lvl w:ilvl="4" w:tplc="50648D08" w:tentative="1">
      <w:start w:val="1"/>
      <w:numFmt w:val="bullet"/>
      <w:lvlText w:val="o"/>
      <w:lvlJc w:val="left"/>
      <w:pPr>
        <w:ind w:left="3600" w:hanging="360"/>
      </w:pPr>
      <w:rPr>
        <w:rFonts w:ascii="Courier New" w:hAnsi="Courier New" w:cs="Courier New" w:hint="default"/>
      </w:rPr>
    </w:lvl>
    <w:lvl w:ilvl="5" w:tplc="CC822D6A" w:tentative="1">
      <w:start w:val="1"/>
      <w:numFmt w:val="bullet"/>
      <w:lvlText w:val=""/>
      <w:lvlJc w:val="left"/>
      <w:pPr>
        <w:ind w:left="4320" w:hanging="360"/>
      </w:pPr>
      <w:rPr>
        <w:rFonts w:ascii="Wingdings" w:hAnsi="Wingdings" w:hint="default"/>
      </w:rPr>
    </w:lvl>
    <w:lvl w:ilvl="6" w:tplc="879CECAE" w:tentative="1">
      <w:start w:val="1"/>
      <w:numFmt w:val="bullet"/>
      <w:lvlText w:val=""/>
      <w:lvlJc w:val="left"/>
      <w:pPr>
        <w:ind w:left="5040" w:hanging="360"/>
      </w:pPr>
      <w:rPr>
        <w:rFonts w:ascii="Symbol" w:hAnsi="Symbol" w:hint="default"/>
      </w:rPr>
    </w:lvl>
    <w:lvl w:ilvl="7" w:tplc="7A4C2640" w:tentative="1">
      <w:start w:val="1"/>
      <w:numFmt w:val="bullet"/>
      <w:lvlText w:val="o"/>
      <w:lvlJc w:val="left"/>
      <w:pPr>
        <w:ind w:left="5760" w:hanging="360"/>
      </w:pPr>
      <w:rPr>
        <w:rFonts w:ascii="Courier New" w:hAnsi="Courier New" w:cs="Courier New" w:hint="default"/>
      </w:rPr>
    </w:lvl>
    <w:lvl w:ilvl="8" w:tplc="E77ACAA6"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000E8120">
      <w:start w:val="1"/>
      <w:numFmt w:val="decimal"/>
      <w:pStyle w:val="CETnumbering1"/>
      <w:lvlText w:val="%1."/>
      <w:lvlJc w:val="left"/>
      <w:pPr>
        <w:ind w:left="720" w:hanging="360"/>
      </w:pPr>
    </w:lvl>
    <w:lvl w:ilvl="1" w:tplc="0A0CD0AA" w:tentative="1">
      <w:start w:val="1"/>
      <w:numFmt w:val="lowerLetter"/>
      <w:lvlText w:val="%2."/>
      <w:lvlJc w:val="left"/>
      <w:pPr>
        <w:ind w:left="1440" w:hanging="360"/>
      </w:pPr>
    </w:lvl>
    <w:lvl w:ilvl="2" w:tplc="9848A6E4" w:tentative="1">
      <w:start w:val="1"/>
      <w:numFmt w:val="lowerRoman"/>
      <w:lvlText w:val="%3."/>
      <w:lvlJc w:val="right"/>
      <w:pPr>
        <w:ind w:left="2160" w:hanging="180"/>
      </w:pPr>
    </w:lvl>
    <w:lvl w:ilvl="3" w:tplc="1CF2D19C" w:tentative="1">
      <w:start w:val="1"/>
      <w:numFmt w:val="decimal"/>
      <w:lvlText w:val="%4."/>
      <w:lvlJc w:val="left"/>
      <w:pPr>
        <w:ind w:left="2880" w:hanging="360"/>
      </w:pPr>
    </w:lvl>
    <w:lvl w:ilvl="4" w:tplc="D3A2AB28" w:tentative="1">
      <w:start w:val="1"/>
      <w:numFmt w:val="lowerLetter"/>
      <w:lvlText w:val="%5."/>
      <w:lvlJc w:val="left"/>
      <w:pPr>
        <w:ind w:left="3600" w:hanging="360"/>
      </w:pPr>
    </w:lvl>
    <w:lvl w:ilvl="5" w:tplc="A5E2737C" w:tentative="1">
      <w:start w:val="1"/>
      <w:numFmt w:val="lowerRoman"/>
      <w:lvlText w:val="%6."/>
      <w:lvlJc w:val="right"/>
      <w:pPr>
        <w:ind w:left="4320" w:hanging="180"/>
      </w:pPr>
    </w:lvl>
    <w:lvl w:ilvl="6" w:tplc="F05E09AC" w:tentative="1">
      <w:start w:val="1"/>
      <w:numFmt w:val="decimal"/>
      <w:lvlText w:val="%7."/>
      <w:lvlJc w:val="left"/>
      <w:pPr>
        <w:ind w:left="5040" w:hanging="360"/>
      </w:pPr>
    </w:lvl>
    <w:lvl w:ilvl="7" w:tplc="45A66520" w:tentative="1">
      <w:start w:val="1"/>
      <w:numFmt w:val="lowerLetter"/>
      <w:lvlText w:val="%8."/>
      <w:lvlJc w:val="left"/>
      <w:pPr>
        <w:ind w:left="5760" w:hanging="360"/>
      </w:pPr>
    </w:lvl>
    <w:lvl w:ilvl="8" w:tplc="D5C68332"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48FECB78">
      <w:start w:val="1"/>
      <w:numFmt w:val="bullet"/>
      <w:lvlText w:val=""/>
      <w:lvlJc w:val="left"/>
      <w:pPr>
        <w:ind w:left="720" w:hanging="360"/>
      </w:pPr>
      <w:rPr>
        <w:rFonts w:ascii="Symbol" w:hAnsi="Symbol" w:hint="default"/>
      </w:rPr>
    </w:lvl>
    <w:lvl w:ilvl="1" w:tplc="70EA4ED0" w:tentative="1">
      <w:start w:val="1"/>
      <w:numFmt w:val="bullet"/>
      <w:lvlText w:val="o"/>
      <w:lvlJc w:val="left"/>
      <w:pPr>
        <w:ind w:left="1440" w:hanging="360"/>
      </w:pPr>
      <w:rPr>
        <w:rFonts w:ascii="Courier New" w:hAnsi="Courier New" w:cs="Courier New" w:hint="default"/>
      </w:rPr>
    </w:lvl>
    <w:lvl w:ilvl="2" w:tplc="0C6AB296" w:tentative="1">
      <w:start w:val="1"/>
      <w:numFmt w:val="bullet"/>
      <w:lvlText w:val=""/>
      <w:lvlJc w:val="left"/>
      <w:pPr>
        <w:ind w:left="2160" w:hanging="360"/>
      </w:pPr>
      <w:rPr>
        <w:rFonts w:ascii="Wingdings" w:hAnsi="Wingdings" w:hint="default"/>
      </w:rPr>
    </w:lvl>
    <w:lvl w:ilvl="3" w:tplc="9D728762" w:tentative="1">
      <w:start w:val="1"/>
      <w:numFmt w:val="bullet"/>
      <w:lvlText w:val=""/>
      <w:lvlJc w:val="left"/>
      <w:pPr>
        <w:ind w:left="2880" w:hanging="360"/>
      </w:pPr>
      <w:rPr>
        <w:rFonts w:ascii="Symbol" w:hAnsi="Symbol" w:hint="default"/>
      </w:rPr>
    </w:lvl>
    <w:lvl w:ilvl="4" w:tplc="47223362" w:tentative="1">
      <w:start w:val="1"/>
      <w:numFmt w:val="bullet"/>
      <w:lvlText w:val="o"/>
      <w:lvlJc w:val="left"/>
      <w:pPr>
        <w:ind w:left="3600" w:hanging="360"/>
      </w:pPr>
      <w:rPr>
        <w:rFonts w:ascii="Courier New" w:hAnsi="Courier New" w:cs="Courier New" w:hint="default"/>
      </w:rPr>
    </w:lvl>
    <w:lvl w:ilvl="5" w:tplc="C0924BF4" w:tentative="1">
      <w:start w:val="1"/>
      <w:numFmt w:val="bullet"/>
      <w:lvlText w:val=""/>
      <w:lvlJc w:val="left"/>
      <w:pPr>
        <w:ind w:left="4320" w:hanging="360"/>
      </w:pPr>
      <w:rPr>
        <w:rFonts w:ascii="Wingdings" w:hAnsi="Wingdings" w:hint="default"/>
      </w:rPr>
    </w:lvl>
    <w:lvl w:ilvl="6" w:tplc="4CBA02EA" w:tentative="1">
      <w:start w:val="1"/>
      <w:numFmt w:val="bullet"/>
      <w:lvlText w:val=""/>
      <w:lvlJc w:val="left"/>
      <w:pPr>
        <w:ind w:left="5040" w:hanging="360"/>
      </w:pPr>
      <w:rPr>
        <w:rFonts w:ascii="Symbol" w:hAnsi="Symbol" w:hint="default"/>
      </w:rPr>
    </w:lvl>
    <w:lvl w:ilvl="7" w:tplc="3258C9FC" w:tentative="1">
      <w:start w:val="1"/>
      <w:numFmt w:val="bullet"/>
      <w:lvlText w:val="o"/>
      <w:lvlJc w:val="left"/>
      <w:pPr>
        <w:ind w:left="5760" w:hanging="360"/>
      </w:pPr>
      <w:rPr>
        <w:rFonts w:ascii="Courier New" w:hAnsi="Courier New" w:cs="Courier New" w:hint="default"/>
      </w:rPr>
    </w:lvl>
    <w:lvl w:ilvl="8" w:tplc="52142D9A"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C368F658">
      <w:start w:val="1"/>
      <w:numFmt w:val="lowerLetter"/>
      <w:pStyle w:val="CETnumberinga"/>
      <w:lvlText w:val="%1."/>
      <w:lvlJc w:val="left"/>
      <w:pPr>
        <w:ind w:left="340" w:hanging="227"/>
      </w:pPr>
      <w:rPr>
        <w:rFonts w:hint="default"/>
      </w:rPr>
    </w:lvl>
    <w:lvl w:ilvl="1" w:tplc="2280F2D0" w:tentative="1">
      <w:start w:val="1"/>
      <w:numFmt w:val="bullet"/>
      <w:lvlText w:val="o"/>
      <w:lvlJc w:val="left"/>
      <w:pPr>
        <w:ind w:left="1440" w:hanging="360"/>
      </w:pPr>
      <w:rPr>
        <w:rFonts w:ascii="Courier New" w:hAnsi="Courier New" w:cs="Courier New" w:hint="default"/>
      </w:rPr>
    </w:lvl>
    <w:lvl w:ilvl="2" w:tplc="953205C0" w:tentative="1">
      <w:start w:val="1"/>
      <w:numFmt w:val="bullet"/>
      <w:lvlText w:val=""/>
      <w:lvlJc w:val="left"/>
      <w:pPr>
        <w:ind w:left="2160" w:hanging="360"/>
      </w:pPr>
      <w:rPr>
        <w:rFonts w:ascii="Wingdings" w:hAnsi="Wingdings" w:hint="default"/>
      </w:rPr>
    </w:lvl>
    <w:lvl w:ilvl="3" w:tplc="F95494E0" w:tentative="1">
      <w:start w:val="1"/>
      <w:numFmt w:val="bullet"/>
      <w:lvlText w:val=""/>
      <w:lvlJc w:val="left"/>
      <w:pPr>
        <w:ind w:left="2880" w:hanging="360"/>
      </w:pPr>
      <w:rPr>
        <w:rFonts w:ascii="Symbol" w:hAnsi="Symbol" w:hint="default"/>
      </w:rPr>
    </w:lvl>
    <w:lvl w:ilvl="4" w:tplc="ED2C4C92" w:tentative="1">
      <w:start w:val="1"/>
      <w:numFmt w:val="bullet"/>
      <w:lvlText w:val="o"/>
      <w:lvlJc w:val="left"/>
      <w:pPr>
        <w:ind w:left="3600" w:hanging="360"/>
      </w:pPr>
      <w:rPr>
        <w:rFonts w:ascii="Courier New" w:hAnsi="Courier New" w:cs="Courier New" w:hint="default"/>
      </w:rPr>
    </w:lvl>
    <w:lvl w:ilvl="5" w:tplc="ED52F8D0" w:tentative="1">
      <w:start w:val="1"/>
      <w:numFmt w:val="bullet"/>
      <w:lvlText w:val=""/>
      <w:lvlJc w:val="left"/>
      <w:pPr>
        <w:ind w:left="4320" w:hanging="360"/>
      </w:pPr>
      <w:rPr>
        <w:rFonts w:ascii="Wingdings" w:hAnsi="Wingdings" w:hint="default"/>
      </w:rPr>
    </w:lvl>
    <w:lvl w:ilvl="6" w:tplc="EA44D6E0" w:tentative="1">
      <w:start w:val="1"/>
      <w:numFmt w:val="bullet"/>
      <w:lvlText w:val=""/>
      <w:lvlJc w:val="left"/>
      <w:pPr>
        <w:ind w:left="5040" w:hanging="360"/>
      </w:pPr>
      <w:rPr>
        <w:rFonts w:ascii="Symbol" w:hAnsi="Symbol" w:hint="default"/>
      </w:rPr>
    </w:lvl>
    <w:lvl w:ilvl="7" w:tplc="EE4EB906" w:tentative="1">
      <w:start w:val="1"/>
      <w:numFmt w:val="bullet"/>
      <w:lvlText w:val="o"/>
      <w:lvlJc w:val="left"/>
      <w:pPr>
        <w:ind w:left="5760" w:hanging="360"/>
      </w:pPr>
      <w:rPr>
        <w:rFonts w:ascii="Courier New" w:hAnsi="Courier New" w:cs="Courier New" w:hint="default"/>
      </w:rPr>
    </w:lvl>
    <w:lvl w:ilvl="8" w:tplc="A79813CC"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76E"/>
    <w:rsid w:val="000117CB"/>
    <w:rsid w:val="00011CC5"/>
    <w:rsid w:val="0002251E"/>
    <w:rsid w:val="00027C14"/>
    <w:rsid w:val="0003148D"/>
    <w:rsid w:val="00031EEC"/>
    <w:rsid w:val="00042146"/>
    <w:rsid w:val="00044D5E"/>
    <w:rsid w:val="00051566"/>
    <w:rsid w:val="000613FE"/>
    <w:rsid w:val="00062A9A"/>
    <w:rsid w:val="00065058"/>
    <w:rsid w:val="00075F8B"/>
    <w:rsid w:val="00086B58"/>
    <w:rsid w:val="00086C39"/>
    <w:rsid w:val="00093DC3"/>
    <w:rsid w:val="000A03B2"/>
    <w:rsid w:val="000B1444"/>
    <w:rsid w:val="000C263B"/>
    <w:rsid w:val="000C2B1E"/>
    <w:rsid w:val="000C3C74"/>
    <w:rsid w:val="000C7944"/>
    <w:rsid w:val="000D0268"/>
    <w:rsid w:val="000D2AAA"/>
    <w:rsid w:val="000D34BE"/>
    <w:rsid w:val="000D7E9B"/>
    <w:rsid w:val="000E102F"/>
    <w:rsid w:val="000E36F1"/>
    <w:rsid w:val="000E3A73"/>
    <w:rsid w:val="000E40F3"/>
    <w:rsid w:val="000E414A"/>
    <w:rsid w:val="000E4B44"/>
    <w:rsid w:val="000E5C9A"/>
    <w:rsid w:val="000F093C"/>
    <w:rsid w:val="000F50A1"/>
    <w:rsid w:val="000F787B"/>
    <w:rsid w:val="001041C7"/>
    <w:rsid w:val="001164EA"/>
    <w:rsid w:val="0012091F"/>
    <w:rsid w:val="00124BFF"/>
    <w:rsid w:val="00126BC2"/>
    <w:rsid w:val="00130051"/>
    <w:rsid w:val="001308B6"/>
    <w:rsid w:val="0013121F"/>
    <w:rsid w:val="00131FE6"/>
    <w:rsid w:val="0013263F"/>
    <w:rsid w:val="001331DF"/>
    <w:rsid w:val="00134DE4"/>
    <w:rsid w:val="0014034D"/>
    <w:rsid w:val="00144D16"/>
    <w:rsid w:val="00144E40"/>
    <w:rsid w:val="00147DE0"/>
    <w:rsid w:val="00150E59"/>
    <w:rsid w:val="00152DE3"/>
    <w:rsid w:val="00163714"/>
    <w:rsid w:val="001646E5"/>
    <w:rsid w:val="00164CF9"/>
    <w:rsid w:val="001667A6"/>
    <w:rsid w:val="00170D14"/>
    <w:rsid w:val="001829A0"/>
    <w:rsid w:val="00184AD6"/>
    <w:rsid w:val="00185406"/>
    <w:rsid w:val="001873B4"/>
    <w:rsid w:val="00190336"/>
    <w:rsid w:val="00191348"/>
    <w:rsid w:val="00194D3D"/>
    <w:rsid w:val="001A25E3"/>
    <w:rsid w:val="001A4AF7"/>
    <w:rsid w:val="001A4D3A"/>
    <w:rsid w:val="001A7A2B"/>
    <w:rsid w:val="001B0349"/>
    <w:rsid w:val="001B1E93"/>
    <w:rsid w:val="001B65C1"/>
    <w:rsid w:val="001C684B"/>
    <w:rsid w:val="001D0CFB"/>
    <w:rsid w:val="001D21AF"/>
    <w:rsid w:val="001D3ADE"/>
    <w:rsid w:val="001D53FC"/>
    <w:rsid w:val="001F42A5"/>
    <w:rsid w:val="001F7B9D"/>
    <w:rsid w:val="00200B84"/>
    <w:rsid w:val="00201C93"/>
    <w:rsid w:val="0022124F"/>
    <w:rsid w:val="002224B4"/>
    <w:rsid w:val="002235A1"/>
    <w:rsid w:val="0022499F"/>
    <w:rsid w:val="00233024"/>
    <w:rsid w:val="00234B05"/>
    <w:rsid w:val="00235724"/>
    <w:rsid w:val="00235CC8"/>
    <w:rsid w:val="00237219"/>
    <w:rsid w:val="00243E95"/>
    <w:rsid w:val="002447EF"/>
    <w:rsid w:val="0024557B"/>
    <w:rsid w:val="00251550"/>
    <w:rsid w:val="00263B05"/>
    <w:rsid w:val="00267C2E"/>
    <w:rsid w:val="0027221A"/>
    <w:rsid w:val="00275B61"/>
    <w:rsid w:val="00280FAF"/>
    <w:rsid w:val="00282656"/>
    <w:rsid w:val="00290290"/>
    <w:rsid w:val="002950EC"/>
    <w:rsid w:val="00296B83"/>
    <w:rsid w:val="002A3C53"/>
    <w:rsid w:val="002B4015"/>
    <w:rsid w:val="002B7784"/>
    <w:rsid w:val="002B78CE"/>
    <w:rsid w:val="002C2FB6"/>
    <w:rsid w:val="002E1CE8"/>
    <w:rsid w:val="002E5FA7"/>
    <w:rsid w:val="002E749B"/>
    <w:rsid w:val="002F3309"/>
    <w:rsid w:val="002F5C1E"/>
    <w:rsid w:val="003008CE"/>
    <w:rsid w:val="003009B7"/>
    <w:rsid w:val="00300E56"/>
    <w:rsid w:val="0030469C"/>
    <w:rsid w:val="00321CA6"/>
    <w:rsid w:val="00322195"/>
    <w:rsid w:val="00323763"/>
    <w:rsid w:val="00334C09"/>
    <w:rsid w:val="00334C0C"/>
    <w:rsid w:val="00335016"/>
    <w:rsid w:val="00347149"/>
    <w:rsid w:val="003723D4"/>
    <w:rsid w:val="00377B32"/>
    <w:rsid w:val="00381905"/>
    <w:rsid w:val="00384CC8"/>
    <w:rsid w:val="00385D58"/>
    <w:rsid w:val="003871FD"/>
    <w:rsid w:val="0038777A"/>
    <w:rsid w:val="00393119"/>
    <w:rsid w:val="00393C3B"/>
    <w:rsid w:val="003A1E30"/>
    <w:rsid w:val="003A2829"/>
    <w:rsid w:val="003A5037"/>
    <w:rsid w:val="003A7D1C"/>
    <w:rsid w:val="003A7D37"/>
    <w:rsid w:val="003B304B"/>
    <w:rsid w:val="003B3146"/>
    <w:rsid w:val="003C22A2"/>
    <w:rsid w:val="003C557B"/>
    <w:rsid w:val="003C5EBA"/>
    <w:rsid w:val="003D079F"/>
    <w:rsid w:val="003D42F2"/>
    <w:rsid w:val="003D4D34"/>
    <w:rsid w:val="003E369F"/>
    <w:rsid w:val="003E50E9"/>
    <w:rsid w:val="003F015E"/>
    <w:rsid w:val="003F5FCC"/>
    <w:rsid w:val="00400414"/>
    <w:rsid w:val="00412FBB"/>
    <w:rsid w:val="0041446B"/>
    <w:rsid w:val="00416C36"/>
    <w:rsid w:val="00417325"/>
    <w:rsid w:val="004315BE"/>
    <w:rsid w:val="0043578B"/>
    <w:rsid w:val="0044071E"/>
    <w:rsid w:val="0044329C"/>
    <w:rsid w:val="00446196"/>
    <w:rsid w:val="00453E24"/>
    <w:rsid w:val="00457456"/>
    <w:rsid w:val="004577FE"/>
    <w:rsid w:val="00457B9C"/>
    <w:rsid w:val="0046164A"/>
    <w:rsid w:val="004628D2"/>
    <w:rsid w:val="00462DCD"/>
    <w:rsid w:val="004648AD"/>
    <w:rsid w:val="004703A9"/>
    <w:rsid w:val="00471AF7"/>
    <w:rsid w:val="00475572"/>
    <w:rsid w:val="004760DE"/>
    <w:rsid w:val="004763D7"/>
    <w:rsid w:val="00480E61"/>
    <w:rsid w:val="0048388D"/>
    <w:rsid w:val="00486923"/>
    <w:rsid w:val="004878B2"/>
    <w:rsid w:val="00491710"/>
    <w:rsid w:val="004A004E"/>
    <w:rsid w:val="004A24CF"/>
    <w:rsid w:val="004A6522"/>
    <w:rsid w:val="004C3D1D"/>
    <w:rsid w:val="004C7913"/>
    <w:rsid w:val="004E4DD6"/>
    <w:rsid w:val="004E65A2"/>
    <w:rsid w:val="004E7F42"/>
    <w:rsid w:val="004F4154"/>
    <w:rsid w:val="004F5E36"/>
    <w:rsid w:val="005005B4"/>
    <w:rsid w:val="00507B47"/>
    <w:rsid w:val="00507BEF"/>
    <w:rsid w:val="00507C29"/>
    <w:rsid w:val="00507CC9"/>
    <w:rsid w:val="005119A5"/>
    <w:rsid w:val="00515E6D"/>
    <w:rsid w:val="0051634B"/>
    <w:rsid w:val="0052041B"/>
    <w:rsid w:val="00520E00"/>
    <w:rsid w:val="005278B7"/>
    <w:rsid w:val="00532016"/>
    <w:rsid w:val="00532AFD"/>
    <w:rsid w:val="005346C8"/>
    <w:rsid w:val="005410A5"/>
    <w:rsid w:val="00543E7D"/>
    <w:rsid w:val="00547A68"/>
    <w:rsid w:val="005531C9"/>
    <w:rsid w:val="005662F1"/>
    <w:rsid w:val="00570C43"/>
    <w:rsid w:val="00580545"/>
    <w:rsid w:val="00586421"/>
    <w:rsid w:val="005A44D6"/>
    <w:rsid w:val="005B165B"/>
    <w:rsid w:val="005B2110"/>
    <w:rsid w:val="005B61E6"/>
    <w:rsid w:val="005C77E1"/>
    <w:rsid w:val="005C79B1"/>
    <w:rsid w:val="005D42FA"/>
    <w:rsid w:val="005D668A"/>
    <w:rsid w:val="005D6A2F"/>
    <w:rsid w:val="005E1A82"/>
    <w:rsid w:val="005E5613"/>
    <w:rsid w:val="005E794C"/>
    <w:rsid w:val="005F0A28"/>
    <w:rsid w:val="005F0DE6"/>
    <w:rsid w:val="005F0E5E"/>
    <w:rsid w:val="005F0F5D"/>
    <w:rsid w:val="005F5B70"/>
    <w:rsid w:val="00600535"/>
    <w:rsid w:val="006010AF"/>
    <w:rsid w:val="00604817"/>
    <w:rsid w:val="00610CD6"/>
    <w:rsid w:val="00616A44"/>
    <w:rsid w:val="00620DEE"/>
    <w:rsid w:val="00621F92"/>
    <w:rsid w:val="0062280A"/>
    <w:rsid w:val="00625639"/>
    <w:rsid w:val="00631B33"/>
    <w:rsid w:val="0063383E"/>
    <w:rsid w:val="00634063"/>
    <w:rsid w:val="0063679C"/>
    <w:rsid w:val="0064184D"/>
    <w:rsid w:val="006422CC"/>
    <w:rsid w:val="00652E91"/>
    <w:rsid w:val="00653DB2"/>
    <w:rsid w:val="00660E3E"/>
    <w:rsid w:val="00662E74"/>
    <w:rsid w:val="00666578"/>
    <w:rsid w:val="00671A93"/>
    <w:rsid w:val="006748C7"/>
    <w:rsid w:val="00680C23"/>
    <w:rsid w:val="00687212"/>
    <w:rsid w:val="00693766"/>
    <w:rsid w:val="006A3281"/>
    <w:rsid w:val="006A400B"/>
    <w:rsid w:val="006A5527"/>
    <w:rsid w:val="006B4888"/>
    <w:rsid w:val="006C2E45"/>
    <w:rsid w:val="006C359C"/>
    <w:rsid w:val="006C5579"/>
    <w:rsid w:val="006D210F"/>
    <w:rsid w:val="006D24FB"/>
    <w:rsid w:val="006D6E8B"/>
    <w:rsid w:val="006E544A"/>
    <w:rsid w:val="006E737D"/>
    <w:rsid w:val="00700151"/>
    <w:rsid w:val="00711692"/>
    <w:rsid w:val="00713973"/>
    <w:rsid w:val="00720292"/>
    <w:rsid w:val="00720A24"/>
    <w:rsid w:val="00723848"/>
    <w:rsid w:val="00732386"/>
    <w:rsid w:val="0073514D"/>
    <w:rsid w:val="007376B3"/>
    <w:rsid w:val="00737806"/>
    <w:rsid w:val="00743324"/>
    <w:rsid w:val="00743C32"/>
    <w:rsid w:val="007447F3"/>
    <w:rsid w:val="00754123"/>
    <w:rsid w:val="0075499F"/>
    <w:rsid w:val="007661C8"/>
    <w:rsid w:val="00767CD9"/>
    <w:rsid w:val="0077098D"/>
    <w:rsid w:val="0077573F"/>
    <w:rsid w:val="00787191"/>
    <w:rsid w:val="007931FA"/>
    <w:rsid w:val="007970FB"/>
    <w:rsid w:val="007A0EA2"/>
    <w:rsid w:val="007A4861"/>
    <w:rsid w:val="007A7BBA"/>
    <w:rsid w:val="007B0C50"/>
    <w:rsid w:val="007B48F9"/>
    <w:rsid w:val="007C1A43"/>
    <w:rsid w:val="007C60AB"/>
    <w:rsid w:val="007E34F5"/>
    <w:rsid w:val="007F2E4B"/>
    <w:rsid w:val="0080013E"/>
    <w:rsid w:val="00806D11"/>
    <w:rsid w:val="00813288"/>
    <w:rsid w:val="008166B5"/>
    <w:rsid w:val="008168FC"/>
    <w:rsid w:val="0082128D"/>
    <w:rsid w:val="00824A11"/>
    <w:rsid w:val="00830996"/>
    <w:rsid w:val="008345F1"/>
    <w:rsid w:val="00834A67"/>
    <w:rsid w:val="0084318C"/>
    <w:rsid w:val="00845C75"/>
    <w:rsid w:val="0085431F"/>
    <w:rsid w:val="008553AB"/>
    <w:rsid w:val="00863E82"/>
    <w:rsid w:val="00865B07"/>
    <w:rsid w:val="008667EA"/>
    <w:rsid w:val="008714A8"/>
    <w:rsid w:val="00873294"/>
    <w:rsid w:val="0087637F"/>
    <w:rsid w:val="00887162"/>
    <w:rsid w:val="0089197F"/>
    <w:rsid w:val="00892AD5"/>
    <w:rsid w:val="008A0346"/>
    <w:rsid w:val="008A1512"/>
    <w:rsid w:val="008B7D4F"/>
    <w:rsid w:val="008C60C6"/>
    <w:rsid w:val="008D32B9"/>
    <w:rsid w:val="008D433B"/>
    <w:rsid w:val="008E566E"/>
    <w:rsid w:val="008F04BE"/>
    <w:rsid w:val="008F1833"/>
    <w:rsid w:val="0090161A"/>
    <w:rsid w:val="00901EB6"/>
    <w:rsid w:val="00904C62"/>
    <w:rsid w:val="00922BA8"/>
    <w:rsid w:val="00924DAC"/>
    <w:rsid w:val="00925774"/>
    <w:rsid w:val="00927058"/>
    <w:rsid w:val="00940274"/>
    <w:rsid w:val="00940DB2"/>
    <w:rsid w:val="00942750"/>
    <w:rsid w:val="009450CE"/>
    <w:rsid w:val="00947179"/>
    <w:rsid w:val="0095164B"/>
    <w:rsid w:val="00954090"/>
    <w:rsid w:val="009573E7"/>
    <w:rsid w:val="00961222"/>
    <w:rsid w:val="00963E05"/>
    <w:rsid w:val="00964A45"/>
    <w:rsid w:val="00967843"/>
    <w:rsid w:val="00967D54"/>
    <w:rsid w:val="00971028"/>
    <w:rsid w:val="00981302"/>
    <w:rsid w:val="00990C58"/>
    <w:rsid w:val="00993B84"/>
    <w:rsid w:val="00996483"/>
    <w:rsid w:val="00996F5A"/>
    <w:rsid w:val="009B041A"/>
    <w:rsid w:val="009B751C"/>
    <w:rsid w:val="009C37C3"/>
    <w:rsid w:val="009C7C86"/>
    <w:rsid w:val="009D2FF7"/>
    <w:rsid w:val="009E7884"/>
    <w:rsid w:val="009E788A"/>
    <w:rsid w:val="009F0E08"/>
    <w:rsid w:val="009F3B6A"/>
    <w:rsid w:val="00A13760"/>
    <w:rsid w:val="00A1763D"/>
    <w:rsid w:val="00A17CEC"/>
    <w:rsid w:val="00A26D1E"/>
    <w:rsid w:val="00A27EF0"/>
    <w:rsid w:val="00A31DAA"/>
    <w:rsid w:val="00A34D0F"/>
    <w:rsid w:val="00A420B5"/>
    <w:rsid w:val="00A42361"/>
    <w:rsid w:val="00A50B20"/>
    <w:rsid w:val="00A51390"/>
    <w:rsid w:val="00A55BA5"/>
    <w:rsid w:val="00A55E4D"/>
    <w:rsid w:val="00A60D13"/>
    <w:rsid w:val="00A65CA7"/>
    <w:rsid w:val="00A72745"/>
    <w:rsid w:val="00A74A4A"/>
    <w:rsid w:val="00A76EFC"/>
    <w:rsid w:val="00A8179B"/>
    <w:rsid w:val="00A91010"/>
    <w:rsid w:val="00A918A4"/>
    <w:rsid w:val="00A9260E"/>
    <w:rsid w:val="00A97F29"/>
    <w:rsid w:val="00AA0C14"/>
    <w:rsid w:val="00AA674F"/>
    <w:rsid w:val="00AA702E"/>
    <w:rsid w:val="00AB0964"/>
    <w:rsid w:val="00AB38EF"/>
    <w:rsid w:val="00AB4621"/>
    <w:rsid w:val="00AB5011"/>
    <w:rsid w:val="00AC7368"/>
    <w:rsid w:val="00AD16B9"/>
    <w:rsid w:val="00AE377D"/>
    <w:rsid w:val="00AF0EBA"/>
    <w:rsid w:val="00AF556D"/>
    <w:rsid w:val="00AF61B4"/>
    <w:rsid w:val="00B02C8A"/>
    <w:rsid w:val="00B11E9C"/>
    <w:rsid w:val="00B1445B"/>
    <w:rsid w:val="00B17FBD"/>
    <w:rsid w:val="00B315A6"/>
    <w:rsid w:val="00B31813"/>
    <w:rsid w:val="00B31AE5"/>
    <w:rsid w:val="00B33365"/>
    <w:rsid w:val="00B34097"/>
    <w:rsid w:val="00B37B35"/>
    <w:rsid w:val="00B519AE"/>
    <w:rsid w:val="00B51EB7"/>
    <w:rsid w:val="00B52A69"/>
    <w:rsid w:val="00B5386B"/>
    <w:rsid w:val="00B5500F"/>
    <w:rsid w:val="00B57B36"/>
    <w:rsid w:val="00B57E6F"/>
    <w:rsid w:val="00B61D06"/>
    <w:rsid w:val="00B672DE"/>
    <w:rsid w:val="00B73A3B"/>
    <w:rsid w:val="00B75AB6"/>
    <w:rsid w:val="00B76159"/>
    <w:rsid w:val="00B77463"/>
    <w:rsid w:val="00B84823"/>
    <w:rsid w:val="00B8686D"/>
    <w:rsid w:val="00B93F69"/>
    <w:rsid w:val="00BB01F2"/>
    <w:rsid w:val="00BB1DDC"/>
    <w:rsid w:val="00BC1100"/>
    <w:rsid w:val="00BC30C9"/>
    <w:rsid w:val="00BC6C9F"/>
    <w:rsid w:val="00BD077D"/>
    <w:rsid w:val="00BE3E58"/>
    <w:rsid w:val="00BF58EE"/>
    <w:rsid w:val="00C01616"/>
    <w:rsid w:val="00C0162B"/>
    <w:rsid w:val="00C068ED"/>
    <w:rsid w:val="00C1643F"/>
    <w:rsid w:val="00C22E0C"/>
    <w:rsid w:val="00C345B1"/>
    <w:rsid w:val="00C40142"/>
    <w:rsid w:val="00C52C3C"/>
    <w:rsid w:val="00C57182"/>
    <w:rsid w:val="00C57863"/>
    <w:rsid w:val="00C655FD"/>
    <w:rsid w:val="00C665C6"/>
    <w:rsid w:val="00C74FBA"/>
    <w:rsid w:val="00C75407"/>
    <w:rsid w:val="00C870A8"/>
    <w:rsid w:val="00C93E73"/>
    <w:rsid w:val="00C94434"/>
    <w:rsid w:val="00C96D4E"/>
    <w:rsid w:val="00CA0D75"/>
    <w:rsid w:val="00CA1C95"/>
    <w:rsid w:val="00CA5A9C"/>
    <w:rsid w:val="00CA5D04"/>
    <w:rsid w:val="00CB715F"/>
    <w:rsid w:val="00CC1E4C"/>
    <w:rsid w:val="00CC4C20"/>
    <w:rsid w:val="00CC7A89"/>
    <w:rsid w:val="00CD3517"/>
    <w:rsid w:val="00CD4C21"/>
    <w:rsid w:val="00CD5FE2"/>
    <w:rsid w:val="00CE7C68"/>
    <w:rsid w:val="00CF3097"/>
    <w:rsid w:val="00CF4F14"/>
    <w:rsid w:val="00D02B4C"/>
    <w:rsid w:val="00D03BE4"/>
    <w:rsid w:val="00D040C4"/>
    <w:rsid w:val="00D21DEC"/>
    <w:rsid w:val="00D2253C"/>
    <w:rsid w:val="00D35187"/>
    <w:rsid w:val="00D41A1E"/>
    <w:rsid w:val="00D46B7E"/>
    <w:rsid w:val="00D50B7B"/>
    <w:rsid w:val="00D57C84"/>
    <w:rsid w:val="00D6057D"/>
    <w:rsid w:val="00D6106D"/>
    <w:rsid w:val="00D65087"/>
    <w:rsid w:val="00D71640"/>
    <w:rsid w:val="00D836C5"/>
    <w:rsid w:val="00D84576"/>
    <w:rsid w:val="00D91767"/>
    <w:rsid w:val="00D922AB"/>
    <w:rsid w:val="00DA1399"/>
    <w:rsid w:val="00DA1514"/>
    <w:rsid w:val="00DA24C6"/>
    <w:rsid w:val="00DA2984"/>
    <w:rsid w:val="00DA4D7B"/>
    <w:rsid w:val="00DB4750"/>
    <w:rsid w:val="00DB59BB"/>
    <w:rsid w:val="00DE264A"/>
    <w:rsid w:val="00DE3BB9"/>
    <w:rsid w:val="00DF3034"/>
    <w:rsid w:val="00DF5072"/>
    <w:rsid w:val="00DF768A"/>
    <w:rsid w:val="00DF7D55"/>
    <w:rsid w:val="00E01A08"/>
    <w:rsid w:val="00E02D18"/>
    <w:rsid w:val="00E041E7"/>
    <w:rsid w:val="00E04E84"/>
    <w:rsid w:val="00E149F4"/>
    <w:rsid w:val="00E23CA1"/>
    <w:rsid w:val="00E245DC"/>
    <w:rsid w:val="00E409A8"/>
    <w:rsid w:val="00E43809"/>
    <w:rsid w:val="00E45F94"/>
    <w:rsid w:val="00E50B19"/>
    <w:rsid w:val="00E50C12"/>
    <w:rsid w:val="00E5604A"/>
    <w:rsid w:val="00E56486"/>
    <w:rsid w:val="00E608EB"/>
    <w:rsid w:val="00E65B91"/>
    <w:rsid w:val="00E7209D"/>
    <w:rsid w:val="00E72EAD"/>
    <w:rsid w:val="00E76E8D"/>
    <w:rsid w:val="00E77223"/>
    <w:rsid w:val="00E839A2"/>
    <w:rsid w:val="00E8528B"/>
    <w:rsid w:val="00E85B94"/>
    <w:rsid w:val="00E978D0"/>
    <w:rsid w:val="00EA306B"/>
    <w:rsid w:val="00EA4613"/>
    <w:rsid w:val="00EA7F91"/>
    <w:rsid w:val="00EB1523"/>
    <w:rsid w:val="00EC0AFB"/>
    <w:rsid w:val="00EC0E49"/>
    <w:rsid w:val="00EC101F"/>
    <w:rsid w:val="00EC1D9F"/>
    <w:rsid w:val="00ED113D"/>
    <w:rsid w:val="00ED5BC4"/>
    <w:rsid w:val="00EE0131"/>
    <w:rsid w:val="00EE17B0"/>
    <w:rsid w:val="00EF06D9"/>
    <w:rsid w:val="00EF36DA"/>
    <w:rsid w:val="00F045AD"/>
    <w:rsid w:val="00F06C34"/>
    <w:rsid w:val="00F106C8"/>
    <w:rsid w:val="00F15FD7"/>
    <w:rsid w:val="00F223AA"/>
    <w:rsid w:val="00F233EB"/>
    <w:rsid w:val="00F245D4"/>
    <w:rsid w:val="00F25BE5"/>
    <w:rsid w:val="00F30C64"/>
    <w:rsid w:val="00F32BA2"/>
    <w:rsid w:val="00F32CDB"/>
    <w:rsid w:val="00F366AC"/>
    <w:rsid w:val="00F37234"/>
    <w:rsid w:val="00F479A1"/>
    <w:rsid w:val="00F51946"/>
    <w:rsid w:val="00F5294B"/>
    <w:rsid w:val="00F5487F"/>
    <w:rsid w:val="00F565FE"/>
    <w:rsid w:val="00F63A70"/>
    <w:rsid w:val="00F74820"/>
    <w:rsid w:val="00F7534E"/>
    <w:rsid w:val="00F76334"/>
    <w:rsid w:val="00F76649"/>
    <w:rsid w:val="00F97890"/>
    <w:rsid w:val="00FA1802"/>
    <w:rsid w:val="00FA21D0"/>
    <w:rsid w:val="00FA2587"/>
    <w:rsid w:val="00FA2F4E"/>
    <w:rsid w:val="00FA5F5F"/>
    <w:rsid w:val="00FB730C"/>
    <w:rsid w:val="00FC2695"/>
    <w:rsid w:val="00FC3E03"/>
    <w:rsid w:val="00FC3FC1"/>
    <w:rsid w:val="00FD1E91"/>
    <w:rsid w:val="00FD2AEC"/>
    <w:rsid w:val="00FD698F"/>
    <w:rsid w:val="00FE1494"/>
    <w:rsid w:val="00FE7A50"/>
    <w:rsid w:val="00FF16C2"/>
    <w:rsid w:val="00FF55B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01BDC"/>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uiPriority w:val="99"/>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F0DE6"/>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uiPriority w:val="99"/>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F0DE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paragraph" w:customStyle="1" w:styleId="Default">
    <w:name w:val="Default"/>
    <w:rsid w:val="00235CC8"/>
    <w:pPr>
      <w:autoSpaceDE w:val="0"/>
      <w:autoSpaceDN w:val="0"/>
      <w:adjustRightInd w:val="0"/>
      <w:spacing w:after="0" w:line="240" w:lineRule="auto"/>
    </w:pPr>
    <w:rPr>
      <w:rFonts w:ascii="Times New Roman" w:hAnsi="Times New Roman" w:cs="Times New Roman"/>
      <w:color w:val="000000"/>
      <w:sz w:val="24"/>
      <w:szCs w:val="24"/>
      <w:lang w:val="es-CO"/>
    </w:rPr>
  </w:style>
  <w:style w:type="paragraph" w:customStyle="1" w:styleId="TDAckTitle">
    <w:name w:val="TD_Ack_Title"/>
    <w:basedOn w:val="Normal"/>
    <w:link w:val="TDAckTitleChar"/>
    <w:rsid w:val="000613FE"/>
    <w:pPr>
      <w:tabs>
        <w:tab w:val="clear" w:pos="7100"/>
      </w:tabs>
      <w:spacing w:before="180" w:after="60" w:line="240" w:lineRule="auto"/>
    </w:pPr>
    <w:rPr>
      <w:rFonts w:ascii="Myriad Pro Light" w:hAnsi="Myriad Pro Light"/>
      <w:b/>
      <w:kern w:val="23"/>
      <w:sz w:val="21"/>
      <w:lang w:val="en-CA"/>
    </w:rPr>
  </w:style>
  <w:style w:type="character" w:customStyle="1" w:styleId="TDAckTitleChar">
    <w:name w:val="TD_Ack_Title Char"/>
    <w:link w:val="TDAckTitle"/>
    <w:rsid w:val="000613FE"/>
    <w:rPr>
      <w:rFonts w:ascii="Myriad Pro Light" w:eastAsia="Times New Roman" w:hAnsi="Myriad Pro Light" w:cs="Times New Roman"/>
      <w:b/>
      <w:kern w:val="23"/>
      <w:sz w:val="21"/>
      <w:szCs w:val="20"/>
      <w:lang w:val="en-CA"/>
    </w:rPr>
  </w:style>
  <w:style w:type="table" w:styleId="Tabladecuadrcula2">
    <w:name w:val="Grid Table 2"/>
    <w:basedOn w:val="Tablanormal"/>
    <w:uiPriority w:val="47"/>
    <w:rsid w:val="000613FE"/>
    <w:pPr>
      <w:spacing w:after="0" w:line="240" w:lineRule="auto"/>
    </w:pPr>
    <w:rPr>
      <w:lang w:val="es-ES_trad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2">
    <w:name w:val="Tabla normal 212"/>
    <w:basedOn w:val="Tablanormal"/>
    <w:uiPriority w:val="42"/>
    <w:rsid w:val="006D24F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ATitle">
    <w:name w:val="BA_Title"/>
    <w:basedOn w:val="Normal"/>
    <w:next w:val="Normal"/>
    <w:autoRedefine/>
    <w:rsid w:val="00243E95"/>
    <w:pPr>
      <w:tabs>
        <w:tab w:val="clear" w:pos="7100"/>
      </w:tabs>
      <w:spacing w:before="1400" w:after="180" w:line="240" w:lineRule="auto"/>
    </w:pPr>
    <w:rPr>
      <w:rFonts w:ascii="Times New Roman" w:hAnsi="Times New Roman"/>
      <w:b/>
      <w:kern w:val="36"/>
      <w:sz w:val="28"/>
      <w:szCs w:val="28"/>
      <w:lang w:val="en-US"/>
    </w:rPr>
  </w:style>
  <w:style w:type="paragraph" w:customStyle="1" w:styleId="lead">
    <w:name w:val="lead"/>
    <w:basedOn w:val="Normal"/>
    <w:rsid w:val="004E7F42"/>
    <w:pPr>
      <w:tabs>
        <w:tab w:val="clear" w:pos="7100"/>
      </w:tabs>
      <w:spacing w:before="100" w:beforeAutospacing="1" w:after="100" w:afterAutospacing="1" w:line="240" w:lineRule="auto"/>
      <w:jc w:val="left"/>
    </w:pPr>
    <w:rPr>
      <w:rFonts w:ascii="Times New Roman" w:hAnsi="Times New Roman"/>
      <w:sz w:val="24"/>
      <w:szCs w:val="24"/>
      <w:lang w:val="es-CO" w:eastAsia="es-CO"/>
    </w:rPr>
  </w:style>
  <w:style w:type="character" w:styleId="Textoennegrita">
    <w:name w:val="Strong"/>
    <w:basedOn w:val="Fuentedeprrafopredeter"/>
    <w:uiPriority w:val="22"/>
    <w:qFormat/>
    <w:rsid w:val="004E7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6549</Words>
  <Characters>36024</Characters>
  <Application>Microsoft Office Word</Application>
  <DocSecurity>0</DocSecurity>
  <Lines>300</Lines>
  <Paragraphs>84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Angel Dario González-Delgado</cp:lastModifiedBy>
  <cp:revision>2</cp:revision>
  <cp:lastPrinted>2015-05-12T18:31:00Z</cp:lastPrinted>
  <dcterms:created xsi:type="dcterms:W3CDTF">2022-04-07T15:49:00Z</dcterms:created>
  <dcterms:modified xsi:type="dcterms:W3CDTF">2022-04-07T15:49:00Z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http://www.zotero.org/styles/american-political-science-association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7a84b15f-83ac-3ce0-b509-370918df3003</vt:lpwstr>
  </property>
  <property fmtid="{D5CDD505-2E9C-101B-9397-08002B2CF9AE}" pid="25"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26" name="ZOTERO_PREF_2">
    <vt:lpwstr>me="storeReferences" value="true"/&gt;&lt;pref name="automaticJournalAbbreviations" value=""/&gt;&lt;pref name="noteType" value=""/&gt;&lt;/prefs&gt;&lt;/data&gt;</vt:lpwstr>
  </property>
</Properties>
</file>